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6B4" w:rsidRPr="00652EEC" w:rsidRDefault="00B176B4" w:rsidP="00B176B4">
      <w:pPr>
        <w:autoSpaceDE w:val="0"/>
        <w:autoSpaceDN w:val="0"/>
        <w:adjustRightInd w:val="0"/>
        <w:spacing w:before="60" w:after="120"/>
        <w:jc w:val="center"/>
        <w:rPr>
          <w:rFonts w:ascii="Times New Roman" w:hAnsi="Times New Roman" w:cs="Times New Roman"/>
          <w:b/>
          <w:bCs/>
          <w:color w:val="007E00"/>
          <w:sz w:val="40"/>
          <w:szCs w:val="40"/>
        </w:rPr>
      </w:pPr>
      <w:r w:rsidRPr="00652EEC">
        <w:rPr>
          <w:rFonts w:ascii="Times New Roman" w:hAnsi="Times New Roman" w:cs="Times New Roman"/>
          <w:b/>
          <w:bCs/>
          <w:color w:val="007E00"/>
          <w:sz w:val="40"/>
          <w:szCs w:val="40"/>
        </w:rPr>
        <w:t xml:space="preserve">CITY OF </w:t>
      </w:r>
      <w:smartTag w:uri="urn:schemas-microsoft-com:office:smarttags" w:element="City">
        <w:smartTag w:uri="urn:schemas-microsoft-com:office:smarttags" w:element="place">
          <w:r w:rsidRPr="00652EEC">
            <w:rPr>
              <w:rFonts w:ascii="Times New Roman" w:hAnsi="Times New Roman" w:cs="Times New Roman"/>
              <w:b/>
              <w:bCs/>
              <w:color w:val="007E00"/>
              <w:sz w:val="40"/>
              <w:szCs w:val="40"/>
            </w:rPr>
            <w:t>CHARLOTTE</w:t>
          </w:r>
        </w:smartTag>
      </w:smartTag>
    </w:p>
    <w:p w:rsidR="00B176B4" w:rsidRPr="00652EEC" w:rsidRDefault="00B176B4" w:rsidP="00B176B4">
      <w:pPr>
        <w:autoSpaceDE w:val="0"/>
        <w:autoSpaceDN w:val="0"/>
        <w:adjustRightInd w:val="0"/>
        <w:spacing w:before="60" w:after="120"/>
        <w:jc w:val="center"/>
        <w:rPr>
          <w:rFonts w:ascii="Times New Roman" w:hAnsi="Times New Roman" w:cs="Times New Roman"/>
          <w:b/>
          <w:bCs/>
          <w:color w:val="007E00"/>
          <w:sz w:val="40"/>
          <w:szCs w:val="40"/>
        </w:rPr>
      </w:pPr>
    </w:p>
    <w:p w:rsidR="004C7DCE" w:rsidRDefault="00B176B4" w:rsidP="00B176B4">
      <w:pPr>
        <w:autoSpaceDE w:val="0"/>
        <w:autoSpaceDN w:val="0"/>
        <w:adjustRightInd w:val="0"/>
        <w:spacing w:before="60" w:after="120"/>
        <w:jc w:val="center"/>
        <w:rPr>
          <w:rFonts w:ascii="Times New Roman" w:hAnsi="Times New Roman" w:cs="Times New Roman"/>
          <w:b/>
          <w:bCs/>
          <w:color w:val="007E00"/>
          <w:sz w:val="40"/>
          <w:szCs w:val="40"/>
        </w:rPr>
      </w:pPr>
      <w:r w:rsidRPr="00652EEC">
        <w:rPr>
          <w:rFonts w:ascii="Times New Roman" w:hAnsi="Times New Roman" w:cs="Times New Roman"/>
          <w:b/>
          <w:bCs/>
          <w:color w:val="007E00"/>
          <w:sz w:val="40"/>
          <w:szCs w:val="40"/>
        </w:rPr>
        <w:t xml:space="preserve">ENVIRONMENTAL PREFERABLE </w:t>
      </w:r>
    </w:p>
    <w:p w:rsidR="00B176B4" w:rsidRPr="00652EEC" w:rsidRDefault="00A17C69" w:rsidP="00B176B4">
      <w:pPr>
        <w:autoSpaceDE w:val="0"/>
        <w:autoSpaceDN w:val="0"/>
        <w:adjustRightInd w:val="0"/>
        <w:spacing w:before="60" w:after="120"/>
        <w:jc w:val="center"/>
        <w:rPr>
          <w:rFonts w:ascii="Times New Roman" w:hAnsi="Times New Roman" w:cs="Times New Roman"/>
          <w:b/>
          <w:bCs/>
          <w:color w:val="007E00"/>
          <w:sz w:val="40"/>
          <w:szCs w:val="40"/>
        </w:rPr>
      </w:pPr>
      <w:r w:rsidRPr="00652EEC">
        <w:rPr>
          <w:rFonts w:ascii="Times New Roman" w:hAnsi="Times New Roman" w:cs="Times New Roman"/>
          <w:b/>
          <w:bCs/>
          <w:color w:val="007E00"/>
          <w:sz w:val="40"/>
          <w:szCs w:val="40"/>
        </w:rPr>
        <w:t>PURCHASING</w:t>
      </w:r>
    </w:p>
    <w:p w:rsidR="00A17C69" w:rsidRPr="00652EEC" w:rsidRDefault="00A17C69" w:rsidP="00B176B4">
      <w:pPr>
        <w:autoSpaceDE w:val="0"/>
        <w:autoSpaceDN w:val="0"/>
        <w:adjustRightInd w:val="0"/>
        <w:spacing w:before="60" w:after="120"/>
        <w:jc w:val="center"/>
        <w:rPr>
          <w:rFonts w:ascii="Times New Roman" w:hAnsi="Times New Roman" w:cs="Times New Roman"/>
          <w:b/>
          <w:bCs/>
          <w:color w:val="007E00"/>
          <w:sz w:val="32"/>
          <w:szCs w:val="32"/>
        </w:rPr>
      </w:pPr>
      <w:r w:rsidRPr="00652EEC">
        <w:rPr>
          <w:rFonts w:ascii="Times New Roman" w:hAnsi="Times New Roman" w:cs="Times New Roman"/>
          <w:b/>
          <w:bCs/>
          <w:color w:val="007E00"/>
          <w:sz w:val="40"/>
          <w:szCs w:val="40"/>
        </w:rPr>
        <w:t>REPORT</w:t>
      </w:r>
    </w:p>
    <w:p w:rsidR="00B176B4" w:rsidRPr="00652EEC" w:rsidRDefault="00B176B4" w:rsidP="00B176B4">
      <w:pPr>
        <w:autoSpaceDE w:val="0"/>
        <w:autoSpaceDN w:val="0"/>
        <w:adjustRightInd w:val="0"/>
        <w:spacing w:before="60" w:after="120"/>
        <w:jc w:val="center"/>
        <w:rPr>
          <w:rFonts w:ascii="Times New Roman" w:hAnsi="Times New Roman" w:cs="Times New Roman"/>
          <w:b/>
          <w:bCs/>
          <w:color w:val="007E00"/>
          <w:sz w:val="32"/>
          <w:szCs w:val="32"/>
        </w:rPr>
      </w:pPr>
    </w:p>
    <w:p w:rsidR="00B176B4" w:rsidRPr="00652EEC" w:rsidRDefault="00B176B4" w:rsidP="00B176B4">
      <w:pPr>
        <w:autoSpaceDE w:val="0"/>
        <w:autoSpaceDN w:val="0"/>
        <w:adjustRightInd w:val="0"/>
        <w:spacing w:before="60" w:after="120"/>
        <w:jc w:val="center"/>
        <w:rPr>
          <w:rFonts w:ascii="Times New Roman" w:hAnsi="Times New Roman" w:cs="Times New Roman"/>
          <w:b/>
          <w:bCs/>
          <w:color w:val="007E00"/>
          <w:sz w:val="32"/>
          <w:szCs w:val="32"/>
        </w:rPr>
      </w:pPr>
    </w:p>
    <w:p w:rsidR="00B176B4" w:rsidRPr="00652EEC" w:rsidRDefault="00B176B4" w:rsidP="00B176B4">
      <w:pPr>
        <w:autoSpaceDE w:val="0"/>
        <w:autoSpaceDN w:val="0"/>
        <w:adjustRightInd w:val="0"/>
        <w:spacing w:before="60" w:after="120"/>
        <w:jc w:val="center"/>
        <w:rPr>
          <w:rFonts w:ascii="Times New Roman" w:hAnsi="Times New Roman" w:cs="Times New Roman"/>
          <w:b/>
          <w:bCs/>
          <w:color w:val="007E00"/>
          <w:sz w:val="32"/>
          <w:szCs w:val="32"/>
        </w:rPr>
      </w:pPr>
    </w:p>
    <w:p w:rsidR="00B176B4" w:rsidRPr="00652EEC" w:rsidRDefault="00B176B4" w:rsidP="00B176B4">
      <w:pPr>
        <w:autoSpaceDE w:val="0"/>
        <w:autoSpaceDN w:val="0"/>
        <w:adjustRightInd w:val="0"/>
        <w:spacing w:before="60" w:after="120"/>
        <w:jc w:val="center"/>
        <w:rPr>
          <w:rFonts w:ascii="Times New Roman" w:hAnsi="Times New Roman" w:cs="Times New Roman"/>
          <w:b/>
          <w:bCs/>
          <w:color w:val="007E00"/>
          <w:sz w:val="32"/>
          <w:szCs w:val="32"/>
        </w:rPr>
      </w:pPr>
    </w:p>
    <w:p w:rsidR="00B176B4" w:rsidRPr="00652EEC" w:rsidRDefault="00B176B4" w:rsidP="00B176B4">
      <w:pPr>
        <w:autoSpaceDE w:val="0"/>
        <w:autoSpaceDN w:val="0"/>
        <w:adjustRightInd w:val="0"/>
        <w:spacing w:before="60" w:after="120"/>
        <w:jc w:val="center"/>
        <w:rPr>
          <w:rFonts w:ascii="Times New Roman" w:hAnsi="Times New Roman" w:cs="Times New Roman"/>
          <w:b/>
          <w:bCs/>
          <w:color w:val="007E00"/>
          <w:sz w:val="32"/>
          <w:szCs w:val="32"/>
        </w:rPr>
      </w:pPr>
      <w:bookmarkStart w:id="0" w:name="OLE_LINK17"/>
      <w:bookmarkStart w:id="1" w:name="OLE_LINK18"/>
      <w:r w:rsidRPr="00652EEC">
        <w:rPr>
          <w:rFonts w:ascii="Times New Roman" w:hAnsi="Times New Roman" w:cs="Times New Roman"/>
          <w:b/>
          <w:bCs/>
          <w:noProof/>
          <w:color w:val="007E00"/>
          <w:sz w:val="32"/>
          <w:szCs w:val="32"/>
        </w:rPr>
        <w:drawing>
          <wp:inline distT="0" distB="0" distL="0" distR="0">
            <wp:extent cx="3238500" cy="2266950"/>
            <wp:effectExtent l="19050" t="0" r="0" b="0"/>
            <wp:docPr id="20" name="Picture 20" descr="epp_4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pp_4Rs"/>
                    <pic:cNvPicPr>
                      <a:picLocks noChangeAspect="1" noChangeArrowheads="1"/>
                    </pic:cNvPicPr>
                  </pic:nvPicPr>
                  <pic:blipFill>
                    <a:blip r:embed="rId8"/>
                    <a:srcRect/>
                    <a:stretch>
                      <a:fillRect/>
                    </a:stretch>
                  </pic:blipFill>
                  <pic:spPr bwMode="auto">
                    <a:xfrm>
                      <a:off x="0" y="0"/>
                      <a:ext cx="3238500" cy="2266950"/>
                    </a:xfrm>
                    <a:prstGeom prst="rect">
                      <a:avLst/>
                    </a:prstGeom>
                    <a:noFill/>
                    <a:ln w="9525">
                      <a:noFill/>
                      <a:miter lim="800000"/>
                      <a:headEnd/>
                      <a:tailEnd/>
                    </a:ln>
                  </pic:spPr>
                </pic:pic>
              </a:graphicData>
            </a:graphic>
          </wp:inline>
        </w:drawing>
      </w:r>
      <w:bookmarkEnd w:id="0"/>
      <w:bookmarkEnd w:id="1"/>
    </w:p>
    <w:p w:rsidR="000E7918" w:rsidRPr="00652EEC" w:rsidRDefault="000E7918" w:rsidP="000E7918">
      <w:pPr>
        <w:ind w:left="4867"/>
        <w:rPr>
          <w:rFonts w:ascii="Times New Roman" w:hAnsi="Times New Roman" w:cs="Times New Roman"/>
        </w:rPr>
      </w:pPr>
    </w:p>
    <w:p w:rsidR="000E7918" w:rsidRPr="00652EEC" w:rsidRDefault="000E7918" w:rsidP="000E7918">
      <w:pPr>
        <w:ind w:left="4860"/>
        <w:rPr>
          <w:rFonts w:ascii="Times New Roman" w:hAnsi="Times New Roman" w:cs="Times New Roman"/>
        </w:rPr>
      </w:pPr>
    </w:p>
    <w:p w:rsidR="00494632" w:rsidRDefault="00A17C69" w:rsidP="00A17C69">
      <w:pPr>
        <w:autoSpaceDE w:val="0"/>
        <w:autoSpaceDN w:val="0"/>
        <w:adjustRightInd w:val="0"/>
        <w:spacing w:before="60" w:after="120"/>
        <w:jc w:val="center"/>
        <w:rPr>
          <w:rFonts w:ascii="Times New Roman" w:hAnsi="Times New Roman" w:cs="Times New Roman"/>
          <w:b/>
          <w:bCs/>
          <w:color w:val="007E00"/>
          <w:sz w:val="32"/>
          <w:szCs w:val="32"/>
        </w:rPr>
      </w:pPr>
      <w:r w:rsidRPr="00652EEC">
        <w:rPr>
          <w:rFonts w:ascii="Times New Roman" w:hAnsi="Times New Roman" w:cs="Times New Roman"/>
          <w:b/>
          <w:bCs/>
          <w:color w:val="007E00"/>
          <w:sz w:val="32"/>
          <w:szCs w:val="32"/>
        </w:rPr>
        <w:t>Provided by</w:t>
      </w:r>
    </w:p>
    <w:p w:rsidR="00A17C69" w:rsidRPr="00652EEC" w:rsidRDefault="00A17C69" w:rsidP="00A17C69">
      <w:pPr>
        <w:autoSpaceDE w:val="0"/>
        <w:autoSpaceDN w:val="0"/>
        <w:adjustRightInd w:val="0"/>
        <w:spacing w:before="60" w:after="120"/>
        <w:jc w:val="center"/>
        <w:rPr>
          <w:rFonts w:ascii="Times New Roman" w:hAnsi="Times New Roman" w:cs="Times New Roman"/>
          <w:b/>
          <w:bCs/>
          <w:color w:val="007E00"/>
          <w:sz w:val="32"/>
          <w:szCs w:val="32"/>
        </w:rPr>
      </w:pPr>
      <w:r w:rsidRPr="00652EEC">
        <w:rPr>
          <w:rFonts w:ascii="Times New Roman" w:hAnsi="Times New Roman" w:cs="Times New Roman"/>
          <w:b/>
          <w:bCs/>
          <w:color w:val="007E00"/>
          <w:sz w:val="32"/>
          <w:szCs w:val="32"/>
        </w:rPr>
        <w:t>Business Support Services</w:t>
      </w:r>
    </w:p>
    <w:p w:rsidR="00A17C69" w:rsidRPr="00652EEC" w:rsidRDefault="00A17C69" w:rsidP="00A17C69">
      <w:pPr>
        <w:autoSpaceDE w:val="0"/>
        <w:autoSpaceDN w:val="0"/>
        <w:adjustRightInd w:val="0"/>
        <w:spacing w:before="60" w:after="120"/>
        <w:jc w:val="center"/>
        <w:rPr>
          <w:rFonts w:ascii="Times New Roman" w:hAnsi="Times New Roman" w:cs="Times New Roman"/>
          <w:b/>
          <w:bCs/>
          <w:color w:val="007E00"/>
          <w:sz w:val="32"/>
          <w:szCs w:val="32"/>
        </w:rPr>
      </w:pPr>
      <w:r w:rsidRPr="00652EEC">
        <w:rPr>
          <w:rFonts w:ascii="Times New Roman" w:hAnsi="Times New Roman" w:cs="Times New Roman"/>
          <w:b/>
          <w:bCs/>
          <w:color w:val="007E00"/>
          <w:sz w:val="32"/>
          <w:szCs w:val="32"/>
        </w:rPr>
        <w:t>Procurement Services Division</w:t>
      </w:r>
    </w:p>
    <w:p w:rsidR="0004290A" w:rsidRPr="00652EEC" w:rsidRDefault="0004290A" w:rsidP="00D468F5">
      <w:pPr>
        <w:jc w:val="center"/>
        <w:rPr>
          <w:rFonts w:ascii="Times New Roman" w:hAnsi="Times New Roman" w:cs="Times New Roman"/>
          <w:b/>
          <w:color w:val="008000"/>
          <w:sz w:val="32"/>
          <w:szCs w:val="32"/>
        </w:rPr>
      </w:pPr>
    </w:p>
    <w:p w:rsidR="00D468F5" w:rsidRPr="00652EEC" w:rsidRDefault="00440A46" w:rsidP="00D468F5">
      <w:pPr>
        <w:jc w:val="center"/>
        <w:rPr>
          <w:rFonts w:ascii="Times New Roman" w:hAnsi="Times New Roman" w:cs="Times New Roman"/>
          <w:b/>
          <w:color w:val="008000"/>
          <w:sz w:val="32"/>
          <w:szCs w:val="32"/>
        </w:rPr>
      </w:pPr>
      <w:r>
        <w:rPr>
          <w:rFonts w:ascii="Times New Roman" w:hAnsi="Times New Roman" w:cs="Times New Roman"/>
          <w:b/>
          <w:color w:val="008000"/>
          <w:sz w:val="32"/>
          <w:szCs w:val="32"/>
        </w:rPr>
        <w:t>July 30</w:t>
      </w:r>
      <w:r w:rsidR="00D468F5" w:rsidRPr="00652EEC">
        <w:rPr>
          <w:rFonts w:ascii="Times New Roman" w:hAnsi="Times New Roman" w:cs="Times New Roman"/>
          <w:b/>
          <w:color w:val="008000"/>
          <w:sz w:val="32"/>
          <w:szCs w:val="32"/>
        </w:rPr>
        <w:t>, 20</w:t>
      </w:r>
      <w:r>
        <w:rPr>
          <w:rFonts w:ascii="Times New Roman" w:hAnsi="Times New Roman" w:cs="Times New Roman"/>
          <w:b/>
          <w:color w:val="008000"/>
          <w:sz w:val="32"/>
          <w:szCs w:val="32"/>
        </w:rPr>
        <w:t>10</w:t>
      </w:r>
    </w:p>
    <w:p w:rsidR="00D468F5" w:rsidRPr="00652EEC" w:rsidRDefault="00D468F5" w:rsidP="00D468F5">
      <w:pPr>
        <w:jc w:val="center"/>
        <w:rPr>
          <w:rFonts w:ascii="Times New Roman" w:hAnsi="Times New Roman" w:cs="Times New Roman"/>
          <w:sz w:val="40"/>
          <w:szCs w:val="40"/>
        </w:rPr>
        <w:sectPr w:rsidR="00D468F5" w:rsidRPr="00652EEC" w:rsidSect="00D61FC0">
          <w:footerReference w:type="default" r:id="rId9"/>
          <w:pgSz w:w="12240" w:h="15840"/>
          <w:pgMar w:top="1440" w:right="1440" w:bottom="1440" w:left="1440" w:header="720" w:footer="720" w:gutter="0"/>
          <w:cols w:space="720"/>
          <w:docGrid w:linePitch="360"/>
        </w:sectPr>
      </w:pPr>
    </w:p>
    <w:p w:rsidR="00D468F5" w:rsidRPr="00FF633D" w:rsidRDefault="00D468F5" w:rsidP="00FF633D">
      <w:pPr>
        <w:spacing w:after="120"/>
        <w:jc w:val="both"/>
        <w:rPr>
          <w:rFonts w:ascii="Times New Roman" w:hAnsi="Times New Roman" w:cs="Times New Roman"/>
          <w:b/>
          <w:sz w:val="24"/>
          <w:szCs w:val="24"/>
        </w:rPr>
      </w:pPr>
      <w:r w:rsidRPr="00FF633D">
        <w:rPr>
          <w:rFonts w:ascii="Times New Roman" w:hAnsi="Times New Roman" w:cs="Times New Roman"/>
          <w:b/>
          <w:sz w:val="24"/>
          <w:szCs w:val="24"/>
        </w:rPr>
        <w:lastRenderedPageBreak/>
        <w:t>INTRODUCTION</w:t>
      </w:r>
    </w:p>
    <w:p w:rsidR="001A5A53" w:rsidRPr="00FF633D" w:rsidRDefault="00482EAA" w:rsidP="000E7918">
      <w:pPr>
        <w:autoSpaceDE w:val="0"/>
        <w:autoSpaceDN w:val="0"/>
        <w:adjustRightInd w:val="0"/>
        <w:jc w:val="both"/>
        <w:rPr>
          <w:rFonts w:ascii="Times New Roman" w:hAnsi="Times New Roman" w:cs="Times New Roman"/>
          <w:sz w:val="24"/>
          <w:szCs w:val="24"/>
        </w:rPr>
      </w:pPr>
      <w:r w:rsidRPr="00FF633D">
        <w:rPr>
          <w:rFonts w:ascii="Times New Roman" w:hAnsi="Times New Roman" w:cs="Times New Roman"/>
          <w:sz w:val="24"/>
          <w:szCs w:val="24"/>
        </w:rPr>
        <w:t xml:space="preserve">The City of Charlotte is a very large consumer of goods and services and the purchasing decisions of our employees and vendors can positively or negatively affect the environment. </w:t>
      </w:r>
      <w:r w:rsidR="001A5A53" w:rsidRPr="00FF633D">
        <w:rPr>
          <w:rFonts w:ascii="Times New Roman" w:hAnsi="Times New Roman" w:cs="Times New Roman"/>
          <w:sz w:val="24"/>
          <w:szCs w:val="24"/>
        </w:rPr>
        <w:t xml:space="preserve">Every single purchase has human health and environmental impacts because of the way products are manufactured, used, and ultimately recycled or discarded. Recognizing these impacts, </w:t>
      </w:r>
      <w:r w:rsidR="0004290A" w:rsidRPr="00FF633D">
        <w:rPr>
          <w:rFonts w:ascii="Times New Roman" w:hAnsi="Times New Roman" w:cs="Times New Roman"/>
          <w:sz w:val="24"/>
          <w:szCs w:val="24"/>
        </w:rPr>
        <w:t>BSS/</w:t>
      </w:r>
      <w:r w:rsidR="001A5A53" w:rsidRPr="00FF633D">
        <w:rPr>
          <w:rFonts w:ascii="Times New Roman" w:hAnsi="Times New Roman" w:cs="Times New Roman"/>
          <w:sz w:val="24"/>
          <w:szCs w:val="24"/>
        </w:rPr>
        <w:t>Procurement Services Division (PSD) has taken a leadership role in support of the City’s commitment to promote environmental best practices and protect our natural resources as outlined in the City’s Strategi</w:t>
      </w:r>
      <w:r w:rsidR="002E3D16" w:rsidRPr="00FF633D">
        <w:rPr>
          <w:rFonts w:ascii="Times New Roman" w:hAnsi="Times New Roman" w:cs="Times New Roman"/>
          <w:sz w:val="24"/>
          <w:szCs w:val="24"/>
        </w:rPr>
        <w:t>c Focus Area Plan for the Environment.</w:t>
      </w:r>
    </w:p>
    <w:p w:rsidR="00486FB5" w:rsidRPr="00FF633D" w:rsidRDefault="002E3D16" w:rsidP="000E7918">
      <w:pPr>
        <w:jc w:val="both"/>
        <w:rPr>
          <w:rFonts w:ascii="Times New Roman" w:hAnsi="Times New Roman" w:cs="Times New Roman"/>
          <w:sz w:val="24"/>
          <w:szCs w:val="24"/>
        </w:rPr>
      </w:pPr>
      <w:r w:rsidRPr="00FF633D">
        <w:rPr>
          <w:rFonts w:ascii="Times New Roman" w:hAnsi="Times New Roman" w:cs="Times New Roman"/>
          <w:sz w:val="24"/>
          <w:szCs w:val="24"/>
        </w:rPr>
        <w:t xml:space="preserve">Last year, </w:t>
      </w:r>
      <w:r w:rsidR="00AF2FEF" w:rsidRPr="00FF633D">
        <w:rPr>
          <w:rFonts w:ascii="Times New Roman" w:hAnsi="Times New Roman" w:cs="Times New Roman"/>
          <w:sz w:val="24"/>
          <w:szCs w:val="24"/>
        </w:rPr>
        <w:t xml:space="preserve">the Environmental Preferable Purchasing Baseline Report dated August 15, 2009 provided the green spend data on products identified by </w:t>
      </w:r>
      <w:r w:rsidR="001A5A53" w:rsidRPr="00FF633D">
        <w:rPr>
          <w:rFonts w:ascii="Times New Roman" w:hAnsi="Times New Roman" w:cs="Times New Roman"/>
          <w:sz w:val="24"/>
          <w:szCs w:val="24"/>
        </w:rPr>
        <w:t>PSD to use as a benchmark</w:t>
      </w:r>
      <w:r w:rsidR="00AF2FEF" w:rsidRPr="00FF633D">
        <w:rPr>
          <w:rFonts w:ascii="Times New Roman" w:hAnsi="Times New Roman" w:cs="Times New Roman"/>
          <w:sz w:val="24"/>
          <w:szCs w:val="24"/>
        </w:rPr>
        <w:t>.</w:t>
      </w:r>
      <w:r w:rsidR="00FF633D">
        <w:rPr>
          <w:rFonts w:ascii="Times New Roman" w:hAnsi="Times New Roman" w:cs="Times New Roman"/>
          <w:sz w:val="24"/>
          <w:szCs w:val="24"/>
        </w:rPr>
        <w:t xml:space="preserve">  </w:t>
      </w:r>
      <w:r w:rsidR="00486FB5" w:rsidRPr="00FF633D">
        <w:rPr>
          <w:rFonts w:ascii="Times New Roman" w:hAnsi="Times New Roman" w:cs="Times New Roman"/>
          <w:sz w:val="24"/>
          <w:szCs w:val="24"/>
        </w:rPr>
        <w:t xml:space="preserve">This report </w:t>
      </w:r>
      <w:r w:rsidRPr="00FF633D">
        <w:rPr>
          <w:rFonts w:ascii="Times New Roman" w:hAnsi="Times New Roman" w:cs="Times New Roman"/>
          <w:sz w:val="24"/>
          <w:szCs w:val="24"/>
        </w:rPr>
        <w:t xml:space="preserve">provides a </w:t>
      </w:r>
      <w:r w:rsidR="00486FB5" w:rsidRPr="00FF633D">
        <w:rPr>
          <w:rFonts w:ascii="Times New Roman" w:hAnsi="Times New Roman" w:cs="Times New Roman"/>
          <w:sz w:val="24"/>
          <w:szCs w:val="24"/>
        </w:rPr>
        <w:t>summar</w:t>
      </w:r>
      <w:r w:rsidRPr="00FF633D">
        <w:rPr>
          <w:rFonts w:ascii="Times New Roman" w:hAnsi="Times New Roman" w:cs="Times New Roman"/>
          <w:sz w:val="24"/>
          <w:szCs w:val="24"/>
        </w:rPr>
        <w:t>y of the spend data on the</w:t>
      </w:r>
      <w:r w:rsidR="00AF2FEF" w:rsidRPr="00FF633D">
        <w:rPr>
          <w:rFonts w:ascii="Times New Roman" w:hAnsi="Times New Roman" w:cs="Times New Roman"/>
          <w:sz w:val="24"/>
          <w:szCs w:val="24"/>
        </w:rPr>
        <w:t>se</w:t>
      </w:r>
      <w:r w:rsidRPr="00FF633D">
        <w:rPr>
          <w:rFonts w:ascii="Times New Roman" w:hAnsi="Times New Roman" w:cs="Times New Roman"/>
          <w:sz w:val="24"/>
          <w:szCs w:val="24"/>
        </w:rPr>
        <w:t xml:space="preserve"> </w:t>
      </w:r>
      <w:r w:rsidR="00486FB5" w:rsidRPr="00FF633D">
        <w:rPr>
          <w:rFonts w:ascii="Times New Roman" w:hAnsi="Times New Roman" w:cs="Times New Roman"/>
          <w:sz w:val="24"/>
          <w:szCs w:val="24"/>
        </w:rPr>
        <w:t>identified products for FY</w:t>
      </w:r>
      <w:r w:rsidRPr="00FF633D">
        <w:rPr>
          <w:rFonts w:ascii="Times New Roman" w:hAnsi="Times New Roman" w:cs="Times New Roman"/>
          <w:sz w:val="24"/>
          <w:szCs w:val="24"/>
        </w:rPr>
        <w:t xml:space="preserve">2010 and measures the trend changes from the </w:t>
      </w:r>
      <w:r w:rsidR="00225428" w:rsidRPr="00FF633D">
        <w:rPr>
          <w:rFonts w:ascii="Times New Roman" w:hAnsi="Times New Roman" w:cs="Times New Roman"/>
          <w:sz w:val="24"/>
          <w:szCs w:val="24"/>
        </w:rPr>
        <w:t xml:space="preserve">2009 </w:t>
      </w:r>
      <w:r w:rsidRPr="00FF633D">
        <w:rPr>
          <w:rFonts w:ascii="Times New Roman" w:hAnsi="Times New Roman" w:cs="Times New Roman"/>
          <w:sz w:val="24"/>
          <w:szCs w:val="24"/>
        </w:rPr>
        <w:t>baseline report.</w:t>
      </w:r>
    </w:p>
    <w:p w:rsidR="001A5A53" w:rsidRPr="00FF633D" w:rsidRDefault="001A5A53" w:rsidP="00FF633D">
      <w:pPr>
        <w:jc w:val="both"/>
        <w:rPr>
          <w:rFonts w:ascii="Times New Roman" w:hAnsi="Times New Roman" w:cs="Times New Roman"/>
          <w:sz w:val="24"/>
          <w:szCs w:val="24"/>
        </w:rPr>
      </w:pPr>
      <w:r w:rsidRPr="00FF633D">
        <w:rPr>
          <w:rFonts w:ascii="Times New Roman" w:hAnsi="Times New Roman" w:cs="Times New Roman"/>
          <w:sz w:val="24"/>
          <w:szCs w:val="24"/>
        </w:rPr>
        <w:t xml:space="preserve">By establishing </w:t>
      </w:r>
      <w:r w:rsidR="002E3D16" w:rsidRPr="00FF633D">
        <w:rPr>
          <w:rFonts w:ascii="Times New Roman" w:hAnsi="Times New Roman" w:cs="Times New Roman"/>
          <w:sz w:val="24"/>
          <w:szCs w:val="24"/>
        </w:rPr>
        <w:t xml:space="preserve">specifications and environmentally preferred attributes </w:t>
      </w:r>
      <w:r w:rsidRPr="00FF633D">
        <w:rPr>
          <w:rFonts w:ascii="Times New Roman" w:hAnsi="Times New Roman" w:cs="Times New Roman"/>
          <w:sz w:val="24"/>
          <w:szCs w:val="24"/>
        </w:rPr>
        <w:t xml:space="preserve">for </w:t>
      </w:r>
      <w:r w:rsidR="002E3D16" w:rsidRPr="00FF633D">
        <w:rPr>
          <w:rFonts w:ascii="Times New Roman" w:hAnsi="Times New Roman" w:cs="Times New Roman"/>
          <w:sz w:val="24"/>
          <w:szCs w:val="24"/>
        </w:rPr>
        <w:t xml:space="preserve">identified products, </w:t>
      </w:r>
      <w:r w:rsidRPr="00FF633D">
        <w:rPr>
          <w:rFonts w:ascii="Times New Roman" w:hAnsi="Times New Roman" w:cs="Times New Roman"/>
          <w:sz w:val="24"/>
          <w:szCs w:val="24"/>
        </w:rPr>
        <w:t>PSD can assist in the selection of products that have a reduced effect on human health and the environment when compared with competing products or services that serve the same purpose without compromising overall budgetary or performance requirements.</w:t>
      </w:r>
    </w:p>
    <w:p w:rsidR="00BF3733" w:rsidRPr="00FF633D" w:rsidRDefault="002E3D16" w:rsidP="00FF633D">
      <w:pPr>
        <w:spacing w:after="120"/>
        <w:rPr>
          <w:rFonts w:ascii="Times New Roman" w:hAnsi="Times New Roman" w:cs="Times New Roman"/>
          <w:b/>
          <w:sz w:val="24"/>
          <w:szCs w:val="24"/>
        </w:rPr>
      </w:pPr>
      <w:r w:rsidRPr="00FF633D">
        <w:rPr>
          <w:rFonts w:ascii="Times New Roman" w:hAnsi="Times New Roman" w:cs="Times New Roman"/>
          <w:b/>
          <w:sz w:val="24"/>
          <w:szCs w:val="24"/>
        </w:rPr>
        <w:t>ENVIRONMENTALLY PREFERRED PURCHASING POLICY</w:t>
      </w:r>
    </w:p>
    <w:p w:rsidR="002E3D16" w:rsidRPr="00FF633D" w:rsidRDefault="002E3D16" w:rsidP="002E3D16">
      <w:pPr>
        <w:jc w:val="both"/>
        <w:rPr>
          <w:rFonts w:ascii="Times New Roman" w:hAnsi="Times New Roman" w:cs="Times New Roman"/>
          <w:sz w:val="24"/>
          <w:szCs w:val="24"/>
        </w:rPr>
      </w:pPr>
      <w:r w:rsidRPr="00FF633D">
        <w:rPr>
          <w:rFonts w:ascii="Times New Roman" w:hAnsi="Times New Roman" w:cs="Times New Roman"/>
          <w:sz w:val="24"/>
          <w:szCs w:val="24"/>
        </w:rPr>
        <w:t xml:space="preserve">BSS/Procurement Services Division has developed </w:t>
      </w:r>
      <w:r w:rsidR="00482EAA" w:rsidRPr="00FF633D">
        <w:rPr>
          <w:rFonts w:ascii="Times New Roman" w:hAnsi="Times New Roman" w:cs="Times New Roman"/>
          <w:sz w:val="24"/>
          <w:szCs w:val="24"/>
        </w:rPr>
        <w:t>the first ever Environmentally Preferred Purchasing Pol</w:t>
      </w:r>
      <w:r w:rsidR="003D72E9" w:rsidRPr="00FF633D">
        <w:rPr>
          <w:rFonts w:ascii="Times New Roman" w:hAnsi="Times New Roman" w:cs="Times New Roman"/>
          <w:sz w:val="24"/>
          <w:szCs w:val="24"/>
        </w:rPr>
        <w:t xml:space="preserve">icy that is currently in </w:t>
      </w:r>
      <w:proofErr w:type="gramStart"/>
      <w:r w:rsidR="003D72E9" w:rsidRPr="00FF633D">
        <w:rPr>
          <w:rFonts w:ascii="Times New Roman" w:hAnsi="Times New Roman" w:cs="Times New Roman"/>
          <w:sz w:val="24"/>
          <w:szCs w:val="24"/>
        </w:rPr>
        <w:t>review</w:t>
      </w:r>
      <w:proofErr w:type="gramEnd"/>
      <w:r w:rsidR="00482EAA" w:rsidRPr="00FF633D">
        <w:rPr>
          <w:rFonts w:ascii="Times New Roman" w:hAnsi="Times New Roman" w:cs="Times New Roman"/>
          <w:sz w:val="24"/>
          <w:szCs w:val="24"/>
        </w:rPr>
        <w:t xml:space="preserve"> by the Environmental Cabinet. </w:t>
      </w:r>
      <w:r w:rsidRPr="00FF633D">
        <w:rPr>
          <w:rFonts w:ascii="Times New Roman" w:hAnsi="Times New Roman" w:cs="Times New Roman"/>
          <w:sz w:val="24"/>
          <w:szCs w:val="24"/>
        </w:rPr>
        <w:t xml:space="preserve">By including environmental considerations in procurement decisions, along with traditional concerns with price, performance and availability, the City will remain fiscally responsible while promoting practices that improve public health and safety, reduce pollution, and conserve natural resources. The purpose of this document is to establish the framework for a sustainability-based purchasing program for </w:t>
      </w:r>
      <w:r w:rsidRPr="00FF633D">
        <w:rPr>
          <w:rFonts w:ascii="Times New Roman" w:hAnsi="Times New Roman" w:cs="Times New Roman"/>
          <w:color w:val="000000" w:themeColor="text1"/>
          <w:sz w:val="24"/>
          <w:szCs w:val="24"/>
        </w:rPr>
        <w:t>the City of Charlotte</w:t>
      </w:r>
      <w:r w:rsidR="003D72E9" w:rsidRPr="00FF633D">
        <w:rPr>
          <w:rFonts w:ascii="Times New Roman" w:hAnsi="Times New Roman" w:cs="Times New Roman"/>
          <w:color w:val="000000" w:themeColor="text1"/>
          <w:sz w:val="24"/>
          <w:szCs w:val="24"/>
        </w:rPr>
        <w:t xml:space="preserve"> and reflects a long-term commitment to the purchase of environmentally preferable products</w:t>
      </w:r>
      <w:r w:rsidRPr="00FF633D">
        <w:rPr>
          <w:rFonts w:ascii="Times New Roman" w:hAnsi="Times New Roman" w:cs="Times New Roman"/>
          <w:sz w:val="24"/>
          <w:szCs w:val="24"/>
        </w:rPr>
        <w:t xml:space="preserve">. </w:t>
      </w:r>
    </w:p>
    <w:p w:rsidR="00482EAA" w:rsidRPr="00FF633D" w:rsidRDefault="00482EAA" w:rsidP="000E7918">
      <w:pPr>
        <w:widowControl w:val="0"/>
        <w:jc w:val="both"/>
        <w:rPr>
          <w:rFonts w:ascii="Times New Roman" w:hAnsi="Times New Roman" w:cs="Times New Roman"/>
          <w:sz w:val="24"/>
          <w:szCs w:val="24"/>
        </w:rPr>
      </w:pPr>
      <w:r w:rsidRPr="00FF633D">
        <w:rPr>
          <w:rFonts w:ascii="Times New Roman" w:hAnsi="Times New Roman" w:cs="Times New Roman"/>
          <w:sz w:val="24"/>
          <w:szCs w:val="24"/>
        </w:rPr>
        <w:t>By implementing a policy that encourages and promote</w:t>
      </w:r>
      <w:r w:rsidR="00293AD0" w:rsidRPr="00FF633D">
        <w:rPr>
          <w:rFonts w:ascii="Times New Roman" w:hAnsi="Times New Roman" w:cs="Times New Roman"/>
          <w:sz w:val="24"/>
          <w:szCs w:val="24"/>
        </w:rPr>
        <w:t>s</w:t>
      </w:r>
      <w:r w:rsidRPr="00FF633D">
        <w:rPr>
          <w:rFonts w:ascii="Times New Roman" w:hAnsi="Times New Roman" w:cs="Times New Roman"/>
          <w:sz w:val="24"/>
          <w:szCs w:val="24"/>
        </w:rPr>
        <w:t xml:space="preserve"> the purchase of environmentally friendly products whose quality, function, and cost are equal or superior to more traditional products, the City can</w:t>
      </w:r>
      <w:r w:rsidR="003D72E9" w:rsidRPr="00FF633D">
        <w:rPr>
          <w:rFonts w:ascii="Times New Roman" w:hAnsi="Times New Roman" w:cs="Times New Roman"/>
          <w:sz w:val="24"/>
          <w:szCs w:val="24"/>
        </w:rPr>
        <w:t xml:space="preserve"> educate City employees and</w:t>
      </w:r>
      <w:r w:rsidRPr="00FF633D">
        <w:rPr>
          <w:rFonts w:ascii="Times New Roman" w:hAnsi="Times New Roman" w:cs="Times New Roman"/>
          <w:sz w:val="24"/>
          <w:szCs w:val="24"/>
        </w:rPr>
        <w:t xml:space="preserve"> vendors on the rewards of conserving natural resources, minimizing pollution, supporting strong recycling markets, and eliminating or reducing health hazards to workers and the community.</w:t>
      </w:r>
    </w:p>
    <w:p w:rsidR="00293AD0" w:rsidRPr="00FF633D" w:rsidRDefault="00BF3733" w:rsidP="00FF633D">
      <w:pPr>
        <w:widowControl w:val="0"/>
        <w:jc w:val="both"/>
        <w:rPr>
          <w:rFonts w:ascii="Times New Roman" w:hAnsi="Times New Roman" w:cs="Times New Roman"/>
          <w:sz w:val="24"/>
          <w:szCs w:val="24"/>
        </w:rPr>
      </w:pPr>
      <w:r w:rsidRPr="00FF633D">
        <w:rPr>
          <w:rFonts w:ascii="Times New Roman" w:hAnsi="Times New Roman" w:cs="Times New Roman"/>
          <w:sz w:val="24"/>
          <w:szCs w:val="24"/>
        </w:rPr>
        <w:t>The City of Charlotte will take a proactive leadership role in modeling best practices for its citizens.  The City will evaluate environmental conditions and opportunities in order to determine what approach is best for our community’s optimal environmental sustainability. By always being conscious of the need to meet regulatory compliance standards and the needs of future generations, the City will avoid costly remedial action.</w:t>
      </w:r>
    </w:p>
    <w:p w:rsidR="00293AD0" w:rsidRPr="00FF633D" w:rsidRDefault="00293AD0" w:rsidP="00293AD0">
      <w:pPr>
        <w:widowControl w:val="0"/>
        <w:jc w:val="center"/>
        <w:rPr>
          <w:rFonts w:ascii="Times New Roman" w:hAnsi="Times New Roman" w:cs="Times New Roman"/>
          <w:sz w:val="24"/>
          <w:szCs w:val="24"/>
        </w:rPr>
        <w:sectPr w:rsidR="00293AD0" w:rsidRPr="00FF633D" w:rsidSect="000E7918">
          <w:footerReference w:type="default" r:id="rId10"/>
          <w:pgSz w:w="12240" w:h="15840"/>
          <w:pgMar w:top="1440" w:right="1440" w:bottom="1440" w:left="1440" w:header="720" w:footer="720" w:gutter="0"/>
          <w:cols w:space="720"/>
          <w:docGrid w:linePitch="360"/>
        </w:sectPr>
      </w:pPr>
    </w:p>
    <w:p w:rsidR="00225428" w:rsidRPr="00FF633D" w:rsidRDefault="000F17D0" w:rsidP="00FF633D">
      <w:pPr>
        <w:spacing w:after="120"/>
        <w:rPr>
          <w:rFonts w:ascii="Times New Roman" w:hAnsi="Times New Roman" w:cs="Times New Roman"/>
          <w:b/>
          <w:sz w:val="24"/>
          <w:szCs w:val="24"/>
        </w:rPr>
      </w:pPr>
      <w:r w:rsidRPr="00FF633D">
        <w:rPr>
          <w:rFonts w:ascii="Times New Roman" w:hAnsi="Times New Roman" w:cs="Times New Roman"/>
          <w:b/>
          <w:sz w:val="24"/>
          <w:szCs w:val="24"/>
        </w:rPr>
        <w:lastRenderedPageBreak/>
        <w:t>BENCHMARKED PRODUCTS</w:t>
      </w:r>
    </w:p>
    <w:p w:rsidR="00754BEE" w:rsidRPr="00FF633D" w:rsidRDefault="00754BEE" w:rsidP="004D197D">
      <w:pPr>
        <w:ind w:right="180"/>
        <w:jc w:val="both"/>
        <w:rPr>
          <w:rFonts w:ascii="Times New Roman" w:hAnsi="Times New Roman" w:cs="Times New Roman"/>
          <w:sz w:val="24"/>
          <w:szCs w:val="24"/>
        </w:rPr>
      </w:pPr>
      <w:r w:rsidRPr="00FF633D">
        <w:rPr>
          <w:rFonts w:ascii="Times New Roman" w:hAnsi="Times New Roman" w:cs="Times New Roman"/>
          <w:sz w:val="24"/>
          <w:szCs w:val="24"/>
        </w:rPr>
        <w:t>In FY2</w:t>
      </w:r>
      <w:r w:rsidR="000435E4" w:rsidRPr="00FF633D">
        <w:rPr>
          <w:rFonts w:ascii="Times New Roman" w:hAnsi="Times New Roman" w:cs="Times New Roman"/>
          <w:sz w:val="24"/>
          <w:szCs w:val="24"/>
        </w:rPr>
        <w:t>010</w:t>
      </w:r>
      <w:r w:rsidRPr="00FF633D">
        <w:rPr>
          <w:rFonts w:ascii="Times New Roman" w:hAnsi="Times New Roman" w:cs="Times New Roman"/>
          <w:sz w:val="24"/>
          <w:szCs w:val="24"/>
        </w:rPr>
        <w:t xml:space="preserve">, the City of Charlotte </w:t>
      </w:r>
      <w:r w:rsidR="00577420" w:rsidRPr="00FF633D">
        <w:rPr>
          <w:rFonts w:ascii="Times New Roman" w:hAnsi="Times New Roman" w:cs="Times New Roman"/>
          <w:sz w:val="24"/>
          <w:szCs w:val="24"/>
        </w:rPr>
        <w:t xml:space="preserve">spent a total of </w:t>
      </w:r>
      <w:r w:rsidR="00225428" w:rsidRPr="00FF633D">
        <w:rPr>
          <w:rFonts w:ascii="Times New Roman" w:hAnsi="Times New Roman" w:cs="Times New Roman"/>
          <w:sz w:val="24"/>
          <w:szCs w:val="24"/>
        </w:rPr>
        <w:t>$2,</w:t>
      </w:r>
      <w:r w:rsidR="004D197D" w:rsidRPr="00FF633D">
        <w:rPr>
          <w:rFonts w:ascii="Times New Roman" w:hAnsi="Times New Roman" w:cs="Times New Roman"/>
          <w:sz w:val="24"/>
          <w:szCs w:val="24"/>
        </w:rPr>
        <w:t>180</w:t>
      </w:r>
      <w:r w:rsidR="00225428" w:rsidRPr="00FF633D">
        <w:rPr>
          <w:rFonts w:ascii="Times New Roman" w:hAnsi="Times New Roman" w:cs="Times New Roman"/>
          <w:sz w:val="24"/>
          <w:szCs w:val="24"/>
        </w:rPr>
        <w:t>,</w:t>
      </w:r>
      <w:r w:rsidR="004D197D" w:rsidRPr="00FF633D">
        <w:rPr>
          <w:rFonts w:ascii="Times New Roman" w:hAnsi="Times New Roman" w:cs="Times New Roman"/>
          <w:sz w:val="24"/>
          <w:szCs w:val="24"/>
        </w:rPr>
        <w:t>310</w:t>
      </w:r>
      <w:r w:rsidR="00225428" w:rsidRPr="00FF633D">
        <w:rPr>
          <w:rFonts w:ascii="Times New Roman" w:hAnsi="Times New Roman" w:cs="Times New Roman"/>
          <w:sz w:val="24"/>
          <w:szCs w:val="24"/>
        </w:rPr>
        <w:t xml:space="preserve"> </w:t>
      </w:r>
      <w:r w:rsidR="00645784" w:rsidRPr="00FF633D">
        <w:rPr>
          <w:rFonts w:ascii="Times New Roman" w:hAnsi="Times New Roman" w:cs="Times New Roman"/>
          <w:sz w:val="24"/>
          <w:szCs w:val="24"/>
        </w:rPr>
        <w:t>with</w:t>
      </w:r>
      <w:r w:rsidR="00225428" w:rsidRPr="00FF633D">
        <w:rPr>
          <w:rFonts w:ascii="Times New Roman" w:hAnsi="Times New Roman" w:cs="Times New Roman"/>
          <w:sz w:val="24"/>
          <w:szCs w:val="24"/>
        </w:rPr>
        <w:t xml:space="preserve"> </w:t>
      </w:r>
      <w:r w:rsidR="00645784" w:rsidRPr="00FF633D">
        <w:rPr>
          <w:rFonts w:ascii="Times New Roman" w:hAnsi="Times New Roman" w:cs="Times New Roman"/>
          <w:sz w:val="24"/>
          <w:szCs w:val="24"/>
        </w:rPr>
        <w:t>six (6) vendors</w:t>
      </w:r>
      <w:r w:rsidR="00225428" w:rsidRPr="00FF633D">
        <w:rPr>
          <w:rFonts w:ascii="Times New Roman" w:hAnsi="Times New Roman" w:cs="Times New Roman"/>
          <w:sz w:val="24"/>
          <w:szCs w:val="24"/>
        </w:rPr>
        <w:t>. The decrease in spend from FY2009 in the amount of $</w:t>
      </w:r>
      <w:r w:rsidR="004D197D" w:rsidRPr="00FF633D">
        <w:rPr>
          <w:rFonts w:ascii="Times New Roman" w:hAnsi="Times New Roman" w:cs="Times New Roman"/>
          <w:sz w:val="24"/>
          <w:szCs w:val="24"/>
        </w:rPr>
        <w:t>201,351</w:t>
      </w:r>
      <w:r w:rsidR="00225428" w:rsidRPr="00FF633D">
        <w:rPr>
          <w:rFonts w:ascii="Times New Roman" w:hAnsi="Times New Roman" w:cs="Times New Roman"/>
          <w:sz w:val="24"/>
          <w:szCs w:val="24"/>
        </w:rPr>
        <w:t>,000 is attributed to budget reductions</w:t>
      </w:r>
      <w:r w:rsidR="00577420" w:rsidRPr="00FF633D">
        <w:rPr>
          <w:rFonts w:ascii="Times New Roman" w:hAnsi="Times New Roman" w:cs="Times New Roman"/>
          <w:sz w:val="24"/>
          <w:szCs w:val="24"/>
        </w:rPr>
        <w:t>. Of this total, $</w:t>
      </w:r>
      <w:r w:rsidR="004D197D" w:rsidRPr="00FF633D">
        <w:rPr>
          <w:rFonts w:ascii="Times New Roman" w:hAnsi="Times New Roman" w:cs="Times New Roman"/>
          <w:sz w:val="24"/>
          <w:szCs w:val="24"/>
        </w:rPr>
        <w:t>592,045</w:t>
      </w:r>
      <w:r w:rsidR="00577420" w:rsidRPr="00FF633D">
        <w:rPr>
          <w:rFonts w:ascii="Times New Roman" w:hAnsi="Times New Roman" w:cs="Times New Roman"/>
          <w:sz w:val="24"/>
          <w:szCs w:val="24"/>
        </w:rPr>
        <w:t xml:space="preserve"> worth of environmentally preferable products were</w:t>
      </w:r>
      <w:r w:rsidR="00645784" w:rsidRPr="00FF633D">
        <w:rPr>
          <w:rFonts w:ascii="Times New Roman" w:hAnsi="Times New Roman" w:cs="Times New Roman"/>
          <w:sz w:val="24"/>
          <w:szCs w:val="24"/>
        </w:rPr>
        <w:t xml:space="preserve"> purchased, which represents </w:t>
      </w:r>
      <w:r w:rsidR="00B26143" w:rsidRPr="00FF633D">
        <w:rPr>
          <w:rFonts w:ascii="Times New Roman" w:hAnsi="Times New Roman" w:cs="Times New Roman"/>
          <w:sz w:val="24"/>
          <w:szCs w:val="24"/>
        </w:rPr>
        <w:t>2</w:t>
      </w:r>
      <w:r w:rsidR="004D197D" w:rsidRPr="00FF633D">
        <w:rPr>
          <w:rFonts w:ascii="Times New Roman" w:hAnsi="Times New Roman" w:cs="Times New Roman"/>
          <w:sz w:val="24"/>
          <w:szCs w:val="24"/>
        </w:rPr>
        <w:t>7</w:t>
      </w:r>
      <w:r w:rsidR="00577420" w:rsidRPr="00FF633D">
        <w:rPr>
          <w:rFonts w:ascii="Times New Roman" w:hAnsi="Times New Roman" w:cs="Times New Roman"/>
          <w:sz w:val="24"/>
          <w:szCs w:val="24"/>
        </w:rPr>
        <w:t>% of the comb</w:t>
      </w:r>
      <w:r w:rsidR="004D197D" w:rsidRPr="00FF633D">
        <w:rPr>
          <w:rFonts w:ascii="Times New Roman" w:hAnsi="Times New Roman" w:cs="Times New Roman"/>
          <w:sz w:val="24"/>
          <w:szCs w:val="24"/>
        </w:rPr>
        <w:t xml:space="preserve">ined total benchmarked products. Although the 27% remains the same as FY2009, there </w:t>
      </w:r>
      <w:r w:rsidR="00CA2D51" w:rsidRPr="00FF633D">
        <w:rPr>
          <w:rFonts w:ascii="Times New Roman" w:hAnsi="Times New Roman" w:cs="Times New Roman"/>
          <w:sz w:val="24"/>
          <w:szCs w:val="24"/>
        </w:rPr>
        <w:t>are substantial increases</w:t>
      </w:r>
      <w:r w:rsidR="004D197D" w:rsidRPr="00FF633D">
        <w:rPr>
          <w:rFonts w:ascii="Times New Roman" w:hAnsi="Times New Roman" w:cs="Times New Roman"/>
          <w:sz w:val="24"/>
          <w:szCs w:val="24"/>
        </w:rPr>
        <w:t xml:space="preserve"> in the use of remanufactured toner and ink cartridges and cleaning supplies as noted in the chart below.  </w:t>
      </w:r>
      <w:r w:rsidR="00155FF8" w:rsidRPr="00FF633D">
        <w:rPr>
          <w:rFonts w:ascii="Times New Roman" w:hAnsi="Times New Roman" w:cs="Times New Roman"/>
          <w:sz w:val="24"/>
          <w:szCs w:val="24"/>
        </w:rPr>
        <w:t xml:space="preserve">Graphs and additional information for each category are included on the following pages. </w:t>
      </w:r>
    </w:p>
    <w:tbl>
      <w:tblPr>
        <w:tblStyle w:val="TableGrid"/>
        <w:tblW w:w="0" w:type="auto"/>
        <w:tblInd w:w="108" w:type="dxa"/>
        <w:tblLook w:val="04A0"/>
      </w:tblPr>
      <w:tblGrid>
        <w:gridCol w:w="2790"/>
        <w:gridCol w:w="1322"/>
        <w:gridCol w:w="1316"/>
        <w:gridCol w:w="2222"/>
        <w:gridCol w:w="1440"/>
        <w:gridCol w:w="1860"/>
        <w:gridCol w:w="1860"/>
      </w:tblGrid>
      <w:tr w:rsidR="002F01AD" w:rsidRPr="00FF633D" w:rsidTr="004D197D">
        <w:tc>
          <w:tcPr>
            <w:tcW w:w="2790" w:type="dxa"/>
          </w:tcPr>
          <w:p w:rsidR="002F01AD" w:rsidRPr="00FF633D" w:rsidRDefault="002F01AD" w:rsidP="00486FB5">
            <w:pPr>
              <w:rPr>
                <w:rFonts w:ascii="Times New Roman" w:hAnsi="Times New Roman" w:cs="Times New Roman"/>
                <w:b/>
                <w:sz w:val="24"/>
                <w:szCs w:val="24"/>
              </w:rPr>
            </w:pPr>
            <w:r w:rsidRPr="00FF633D">
              <w:rPr>
                <w:rFonts w:ascii="Times New Roman" w:hAnsi="Times New Roman" w:cs="Times New Roman"/>
                <w:b/>
                <w:sz w:val="24"/>
                <w:szCs w:val="24"/>
              </w:rPr>
              <w:t>Product/Service</w:t>
            </w:r>
          </w:p>
        </w:tc>
        <w:tc>
          <w:tcPr>
            <w:tcW w:w="1322" w:type="dxa"/>
          </w:tcPr>
          <w:p w:rsidR="002F01AD" w:rsidRPr="00FF633D" w:rsidRDefault="002F01AD" w:rsidP="00486FB5">
            <w:pPr>
              <w:rPr>
                <w:rFonts w:ascii="Times New Roman" w:hAnsi="Times New Roman" w:cs="Times New Roman"/>
                <w:b/>
                <w:sz w:val="24"/>
                <w:szCs w:val="24"/>
              </w:rPr>
            </w:pPr>
            <w:r w:rsidRPr="00FF633D">
              <w:rPr>
                <w:rFonts w:ascii="Times New Roman" w:hAnsi="Times New Roman" w:cs="Times New Roman"/>
                <w:b/>
                <w:sz w:val="24"/>
                <w:szCs w:val="24"/>
              </w:rPr>
              <w:t xml:space="preserve">Total Products Purchased </w:t>
            </w:r>
          </w:p>
          <w:p w:rsidR="002F01AD" w:rsidRPr="00FF633D" w:rsidRDefault="002F01AD" w:rsidP="000435E4">
            <w:pPr>
              <w:rPr>
                <w:rFonts w:ascii="Times New Roman" w:hAnsi="Times New Roman" w:cs="Times New Roman"/>
                <w:b/>
                <w:sz w:val="24"/>
                <w:szCs w:val="24"/>
              </w:rPr>
            </w:pPr>
            <w:r w:rsidRPr="00FF633D">
              <w:rPr>
                <w:rFonts w:ascii="Times New Roman" w:hAnsi="Times New Roman" w:cs="Times New Roman"/>
                <w:b/>
                <w:sz w:val="24"/>
                <w:szCs w:val="24"/>
              </w:rPr>
              <w:t>(Quantity)</w:t>
            </w:r>
          </w:p>
        </w:tc>
        <w:tc>
          <w:tcPr>
            <w:tcW w:w="1316" w:type="dxa"/>
          </w:tcPr>
          <w:p w:rsidR="002F01AD" w:rsidRPr="00FF633D" w:rsidRDefault="002F01AD" w:rsidP="00486FB5">
            <w:pPr>
              <w:rPr>
                <w:rFonts w:ascii="Times New Roman" w:hAnsi="Times New Roman" w:cs="Times New Roman"/>
                <w:b/>
                <w:sz w:val="24"/>
                <w:szCs w:val="24"/>
              </w:rPr>
            </w:pPr>
            <w:r w:rsidRPr="00FF633D">
              <w:rPr>
                <w:rFonts w:ascii="Times New Roman" w:hAnsi="Times New Roman" w:cs="Times New Roman"/>
                <w:b/>
                <w:sz w:val="24"/>
                <w:szCs w:val="24"/>
              </w:rPr>
              <w:t>Total Dollar Amount</w:t>
            </w:r>
          </w:p>
        </w:tc>
        <w:tc>
          <w:tcPr>
            <w:tcW w:w="2222" w:type="dxa"/>
          </w:tcPr>
          <w:p w:rsidR="002F01AD" w:rsidRPr="00FF633D" w:rsidRDefault="002F01AD" w:rsidP="00486FB5">
            <w:pPr>
              <w:rPr>
                <w:rFonts w:ascii="Times New Roman" w:hAnsi="Times New Roman" w:cs="Times New Roman"/>
                <w:b/>
                <w:sz w:val="24"/>
                <w:szCs w:val="24"/>
              </w:rPr>
            </w:pPr>
            <w:r w:rsidRPr="00FF633D">
              <w:rPr>
                <w:rFonts w:ascii="Times New Roman" w:hAnsi="Times New Roman" w:cs="Times New Roman"/>
                <w:b/>
                <w:sz w:val="24"/>
                <w:szCs w:val="24"/>
              </w:rPr>
              <w:t>Quantity Containing Environmental Preferable Attributes</w:t>
            </w:r>
          </w:p>
        </w:tc>
        <w:tc>
          <w:tcPr>
            <w:tcW w:w="1440" w:type="dxa"/>
          </w:tcPr>
          <w:p w:rsidR="002F01AD" w:rsidRPr="00FF633D" w:rsidRDefault="002F01AD" w:rsidP="00DB721C">
            <w:pPr>
              <w:rPr>
                <w:rFonts w:ascii="Times New Roman" w:hAnsi="Times New Roman" w:cs="Times New Roman"/>
                <w:b/>
                <w:sz w:val="24"/>
                <w:szCs w:val="24"/>
              </w:rPr>
            </w:pPr>
            <w:r w:rsidRPr="00FF633D">
              <w:rPr>
                <w:rFonts w:ascii="Times New Roman" w:hAnsi="Times New Roman" w:cs="Times New Roman"/>
                <w:b/>
                <w:sz w:val="24"/>
                <w:szCs w:val="24"/>
              </w:rPr>
              <w:t>Dollar Amount Spent on</w:t>
            </w:r>
          </w:p>
          <w:p w:rsidR="002F01AD" w:rsidRPr="00FF633D" w:rsidRDefault="002F01AD" w:rsidP="00DB721C">
            <w:pPr>
              <w:rPr>
                <w:rFonts w:ascii="Times New Roman" w:hAnsi="Times New Roman" w:cs="Times New Roman"/>
                <w:b/>
                <w:sz w:val="24"/>
                <w:szCs w:val="24"/>
              </w:rPr>
            </w:pPr>
            <w:r w:rsidRPr="00FF633D">
              <w:rPr>
                <w:rFonts w:ascii="Times New Roman" w:hAnsi="Times New Roman" w:cs="Times New Roman"/>
                <w:b/>
                <w:sz w:val="24"/>
                <w:szCs w:val="24"/>
              </w:rPr>
              <w:t>“Green Purchases”</w:t>
            </w:r>
          </w:p>
        </w:tc>
        <w:tc>
          <w:tcPr>
            <w:tcW w:w="1860" w:type="dxa"/>
          </w:tcPr>
          <w:p w:rsidR="002F01AD" w:rsidRPr="00FF633D" w:rsidRDefault="002F01AD" w:rsidP="00486FB5">
            <w:pPr>
              <w:rPr>
                <w:rFonts w:ascii="Times New Roman" w:hAnsi="Times New Roman" w:cs="Times New Roman"/>
                <w:b/>
                <w:sz w:val="24"/>
                <w:szCs w:val="24"/>
              </w:rPr>
            </w:pPr>
            <w:r w:rsidRPr="00FF633D">
              <w:rPr>
                <w:rFonts w:ascii="Times New Roman" w:hAnsi="Times New Roman" w:cs="Times New Roman"/>
                <w:b/>
                <w:sz w:val="24"/>
                <w:szCs w:val="24"/>
              </w:rPr>
              <w:t>Percentage of Total “Green” Purchase for FY10</w:t>
            </w:r>
          </w:p>
        </w:tc>
        <w:tc>
          <w:tcPr>
            <w:tcW w:w="1860" w:type="dxa"/>
          </w:tcPr>
          <w:p w:rsidR="002F01AD" w:rsidRPr="00FF633D" w:rsidRDefault="002F01AD" w:rsidP="00486FB5">
            <w:pPr>
              <w:rPr>
                <w:rFonts w:ascii="Times New Roman" w:hAnsi="Times New Roman" w:cs="Times New Roman"/>
                <w:b/>
                <w:sz w:val="24"/>
                <w:szCs w:val="24"/>
              </w:rPr>
            </w:pPr>
            <w:r w:rsidRPr="00FF633D">
              <w:rPr>
                <w:rFonts w:ascii="Times New Roman" w:hAnsi="Times New Roman" w:cs="Times New Roman"/>
                <w:b/>
                <w:sz w:val="24"/>
                <w:szCs w:val="24"/>
              </w:rPr>
              <w:t>Percentage Increase or Decrease from FY09</w:t>
            </w:r>
          </w:p>
        </w:tc>
      </w:tr>
      <w:tr w:rsidR="002F01AD" w:rsidRPr="00FF633D" w:rsidTr="004D197D">
        <w:tc>
          <w:tcPr>
            <w:tcW w:w="2790" w:type="dxa"/>
          </w:tcPr>
          <w:p w:rsidR="002F01AD" w:rsidRPr="00FF633D" w:rsidRDefault="002F01AD" w:rsidP="00486FB5">
            <w:pPr>
              <w:rPr>
                <w:rFonts w:ascii="Times New Roman" w:hAnsi="Times New Roman" w:cs="Times New Roman"/>
                <w:sz w:val="24"/>
                <w:szCs w:val="24"/>
              </w:rPr>
            </w:pPr>
            <w:r w:rsidRPr="00FF633D">
              <w:rPr>
                <w:rFonts w:ascii="Times New Roman" w:hAnsi="Times New Roman" w:cs="Times New Roman"/>
                <w:sz w:val="24"/>
                <w:szCs w:val="24"/>
              </w:rPr>
              <w:t>Toner/Ink Cartridges</w:t>
            </w:r>
          </w:p>
        </w:tc>
        <w:tc>
          <w:tcPr>
            <w:tcW w:w="1322" w:type="dxa"/>
          </w:tcPr>
          <w:p w:rsidR="002F01AD" w:rsidRPr="00FF633D" w:rsidRDefault="00D66C63" w:rsidP="00D526C7">
            <w:pPr>
              <w:rPr>
                <w:rFonts w:ascii="Times New Roman" w:hAnsi="Times New Roman" w:cs="Times New Roman"/>
                <w:sz w:val="24"/>
                <w:szCs w:val="24"/>
              </w:rPr>
            </w:pPr>
            <w:r w:rsidRPr="00FF633D">
              <w:rPr>
                <w:rFonts w:ascii="Times New Roman" w:hAnsi="Times New Roman" w:cs="Times New Roman"/>
                <w:sz w:val="24"/>
                <w:szCs w:val="24"/>
              </w:rPr>
              <w:t>2598</w:t>
            </w:r>
          </w:p>
        </w:tc>
        <w:tc>
          <w:tcPr>
            <w:tcW w:w="1316" w:type="dxa"/>
          </w:tcPr>
          <w:p w:rsidR="002F01AD" w:rsidRPr="00FF633D" w:rsidRDefault="002F01AD" w:rsidP="008A46F1">
            <w:pPr>
              <w:rPr>
                <w:rFonts w:ascii="Times New Roman" w:hAnsi="Times New Roman" w:cs="Times New Roman"/>
                <w:sz w:val="24"/>
                <w:szCs w:val="24"/>
              </w:rPr>
            </w:pPr>
            <w:r w:rsidRPr="00FF633D">
              <w:rPr>
                <w:rFonts w:ascii="Times New Roman" w:hAnsi="Times New Roman" w:cs="Times New Roman"/>
                <w:sz w:val="24"/>
                <w:szCs w:val="24"/>
              </w:rPr>
              <w:t>$</w:t>
            </w:r>
            <w:r w:rsidR="008A46F1" w:rsidRPr="00FF633D">
              <w:rPr>
                <w:rFonts w:ascii="Times New Roman" w:hAnsi="Times New Roman" w:cs="Times New Roman"/>
                <w:sz w:val="24"/>
                <w:szCs w:val="24"/>
              </w:rPr>
              <w:t>157,688</w:t>
            </w:r>
          </w:p>
        </w:tc>
        <w:tc>
          <w:tcPr>
            <w:tcW w:w="2222" w:type="dxa"/>
          </w:tcPr>
          <w:p w:rsidR="002F01AD" w:rsidRPr="00FF633D" w:rsidRDefault="00D66C63" w:rsidP="00D66C63">
            <w:pPr>
              <w:rPr>
                <w:rFonts w:ascii="Times New Roman" w:hAnsi="Times New Roman" w:cs="Times New Roman"/>
                <w:sz w:val="24"/>
                <w:szCs w:val="24"/>
              </w:rPr>
            </w:pPr>
            <w:r w:rsidRPr="00FF633D">
              <w:rPr>
                <w:rFonts w:ascii="Times New Roman" w:hAnsi="Times New Roman" w:cs="Times New Roman"/>
                <w:sz w:val="24"/>
                <w:szCs w:val="24"/>
              </w:rPr>
              <w:t>1323</w:t>
            </w:r>
          </w:p>
        </w:tc>
        <w:tc>
          <w:tcPr>
            <w:tcW w:w="1440" w:type="dxa"/>
          </w:tcPr>
          <w:p w:rsidR="002F01AD" w:rsidRPr="00FF633D" w:rsidRDefault="002F01AD" w:rsidP="008A46F1">
            <w:pPr>
              <w:rPr>
                <w:rFonts w:ascii="Times New Roman" w:hAnsi="Times New Roman" w:cs="Times New Roman"/>
                <w:sz w:val="24"/>
                <w:szCs w:val="24"/>
              </w:rPr>
            </w:pPr>
            <w:r w:rsidRPr="00FF633D">
              <w:rPr>
                <w:rFonts w:ascii="Times New Roman" w:hAnsi="Times New Roman" w:cs="Times New Roman"/>
                <w:sz w:val="24"/>
                <w:szCs w:val="24"/>
              </w:rPr>
              <w:t>$</w:t>
            </w:r>
            <w:r w:rsidR="008A46F1" w:rsidRPr="00FF633D">
              <w:rPr>
                <w:rFonts w:ascii="Times New Roman" w:hAnsi="Times New Roman" w:cs="Times New Roman"/>
                <w:sz w:val="24"/>
                <w:szCs w:val="24"/>
              </w:rPr>
              <w:t>80,439</w:t>
            </w:r>
          </w:p>
        </w:tc>
        <w:tc>
          <w:tcPr>
            <w:tcW w:w="1860" w:type="dxa"/>
          </w:tcPr>
          <w:p w:rsidR="002F01AD" w:rsidRPr="00FF633D" w:rsidRDefault="003D72E9" w:rsidP="00486FB5">
            <w:pPr>
              <w:rPr>
                <w:rFonts w:ascii="Times New Roman" w:hAnsi="Times New Roman" w:cs="Times New Roman"/>
                <w:sz w:val="24"/>
                <w:szCs w:val="24"/>
              </w:rPr>
            </w:pPr>
            <w:r w:rsidRPr="00FF633D">
              <w:rPr>
                <w:rFonts w:ascii="Times New Roman" w:hAnsi="Times New Roman" w:cs="Times New Roman"/>
                <w:sz w:val="24"/>
                <w:szCs w:val="24"/>
              </w:rPr>
              <w:t>51</w:t>
            </w:r>
            <w:r w:rsidR="002F01AD" w:rsidRPr="00FF633D">
              <w:rPr>
                <w:rFonts w:ascii="Times New Roman" w:hAnsi="Times New Roman" w:cs="Times New Roman"/>
                <w:sz w:val="24"/>
                <w:szCs w:val="24"/>
              </w:rPr>
              <w:t xml:space="preserve">% </w:t>
            </w:r>
          </w:p>
          <w:p w:rsidR="002F01AD" w:rsidRPr="00FF633D" w:rsidRDefault="00D66C63" w:rsidP="002F01AD">
            <w:pPr>
              <w:rPr>
                <w:rFonts w:ascii="Times New Roman" w:hAnsi="Times New Roman" w:cs="Times New Roman"/>
                <w:sz w:val="24"/>
                <w:szCs w:val="24"/>
              </w:rPr>
            </w:pPr>
            <w:r w:rsidRPr="00FF633D">
              <w:rPr>
                <w:rFonts w:ascii="Times New Roman" w:hAnsi="Times New Roman" w:cs="Times New Roman"/>
                <w:sz w:val="24"/>
                <w:szCs w:val="24"/>
              </w:rPr>
              <w:t>based on qty</w:t>
            </w:r>
          </w:p>
        </w:tc>
        <w:tc>
          <w:tcPr>
            <w:tcW w:w="1860" w:type="dxa"/>
          </w:tcPr>
          <w:p w:rsidR="002F01AD" w:rsidRPr="00FF633D" w:rsidRDefault="00036288" w:rsidP="003D72E9">
            <w:pPr>
              <w:rPr>
                <w:rFonts w:ascii="Times New Roman" w:hAnsi="Times New Roman" w:cs="Times New Roman"/>
                <w:sz w:val="24"/>
                <w:szCs w:val="24"/>
              </w:rPr>
            </w:pPr>
            <w:r w:rsidRPr="00FF633D">
              <w:rPr>
                <w:rFonts w:ascii="Times New Roman" w:hAnsi="Times New Roman" w:cs="Times New Roman"/>
                <w:sz w:val="24"/>
                <w:szCs w:val="24"/>
              </w:rPr>
              <w:t>2</w:t>
            </w:r>
            <w:r w:rsidR="003D72E9" w:rsidRPr="00FF633D">
              <w:rPr>
                <w:rFonts w:ascii="Times New Roman" w:hAnsi="Times New Roman" w:cs="Times New Roman"/>
                <w:sz w:val="24"/>
                <w:szCs w:val="24"/>
              </w:rPr>
              <w:t>6</w:t>
            </w:r>
            <w:r w:rsidRPr="00FF633D">
              <w:rPr>
                <w:rFonts w:ascii="Times New Roman" w:hAnsi="Times New Roman" w:cs="Times New Roman"/>
                <w:sz w:val="24"/>
                <w:szCs w:val="24"/>
              </w:rPr>
              <w:t>%</w:t>
            </w:r>
          </w:p>
        </w:tc>
      </w:tr>
      <w:tr w:rsidR="002F01AD" w:rsidRPr="00FF633D" w:rsidTr="004D197D">
        <w:tc>
          <w:tcPr>
            <w:tcW w:w="2790" w:type="dxa"/>
          </w:tcPr>
          <w:p w:rsidR="002F01AD" w:rsidRPr="00FF633D" w:rsidRDefault="002F01AD" w:rsidP="00486FB5">
            <w:pPr>
              <w:rPr>
                <w:rFonts w:ascii="Times New Roman" w:hAnsi="Times New Roman" w:cs="Times New Roman"/>
                <w:sz w:val="24"/>
                <w:szCs w:val="24"/>
              </w:rPr>
            </w:pPr>
            <w:r w:rsidRPr="00FF633D">
              <w:rPr>
                <w:rFonts w:ascii="Times New Roman" w:hAnsi="Times New Roman" w:cs="Times New Roman"/>
                <w:sz w:val="24"/>
                <w:szCs w:val="24"/>
              </w:rPr>
              <w:t>Office Supplies</w:t>
            </w:r>
          </w:p>
        </w:tc>
        <w:tc>
          <w:tcPr>
            <w:tcW w:w="1322" w:type="dxa"/>
          </w:tcPr>
          <w:p w:rsidR="002F01AD" w:rsidRPr="00FF633D" w:rsidRDefault="002F01AD" w:rsidP="00486FB5">
            <w:pPr>
              <w:rPr>
                <w:rFonts w:ascii="Times New Roman" w:hAnsi="Times New Roman" w:cs="Times New Roman"/>
                <w:sz w:val="24"/>
                <w:szCs w:val="24"/>
              </w:rPr>
            </w:pPr>
            <w:r w:rsidRPr="00FF633D">
              <w:rPr>
                <w:rFonts w:ascii="Times New Roman" w:hAnsi="Times New Roman" w:cs="Times New Roman"/>
                <w:sz w:val="24"/>
                <w:szCs w:val="24"/>
              </w:rPr>
              <w:t>51,936 various items</w:t>
            </w:r>
          </w:p>
        </w:tc>
        <w:tc>
          <w:tcPr>
            <w:tcW w:w="1316" w:type="dxa"/>
          </w:tcPr>
          <w:p w:rsidR="002F01AD" w:rsidRPr="00FF633D" w:rsidRDefault="002F01AD" w:rsidP="00966FD9">
            <w:pPr>
              <w:rPr>
                <w:rFonts w:ascii="Times New Roman" w:hAnsi="Times New Roman" w:cs="Times New Roman"/>
                <w:sz w:val="24"/>
                <w:szCs w:val="24"/>
              </w:rPr>
            </w:pPr>
            <w:r w:rsidRPr="00FF633D">
              <w:rPr>
                <w:rFonts w:ascii="Times New Roman" w:hAnsi="Times New Roman" w:cs="Times New Roman"/>
                <w:sz w:val="24"/>
                <w:szCs w:val="24"/>
              </w:rPr>
              <w:t>$552,970</w:t>
            </w:r>
          </w:p>
        </w:tc>
        <w:tc>
          <w:tcPr>
            <w:tcW w:w="2222" w:type="dxa"/>
          </w:tcPr>
          <w:p w:rsidR="002F01AD" w:rsidRPr="00FF633D" w:rsidRDefault="002F01AD" w:rsidP="00486FB5">
            <w:pPr>
              <w:rPr>
                <w:rFonts w:ascii="Times New Roman" w:hAnsi="Times New Roman" w:cs="Times New Roman"/>
                <w:sz w:val="24"/>
                <w:szCs w:val="24"/>
              </w:rPr>
            </w:pPr>
            <w:r w:rsidRPr="00FF633D">
              <w:rPr>
                <w:rFonts w:ascii="Times New Roman" w:hAnsi="Times New Roman" w:cs="Times New Roman"/>
                <w:sz w:val="24"/>
                <w:szCs w:val="24"/>
              </w:rPr>
              <w:t>15,863  items</w:t>
            </w:r>
          </w:p>
        </w:tc>
        <w:tc>
          <w:tcPr>
            <w:tcW w:w="1440" w:type="dxa"/>
          </w:tcPr>
          <w:p w:rsidR="002F01AD" w:rsidRPr="00FF633D" w:rsidRDefault="002F01AD" w:rsidP="00966FD9">
            <w:pPr>
              <w:rPr>
                <w:rFonts w:ascii="Times New Roman" w:hAnsi="Times New Roman" w:cs="Times New Roman"/>
                <w:sz w:val="24"/>
                <w:szCs w:val="24"/>
              </w:rPr>
            </w:pPr>
            <w:r w:rsidRPr="00FF633D">
              <w:rPr>
                <w:rFonts w:ascii="Times New Roman" w:hAnsi="Times New Roman" w:cs="Times New Roman"/>
                <w:sz w:val="24"/>
                <w:szCs w:val="24"/>
              </w:rPr>
              <w:t>$172,153</w:t>
            </w:r>
          </w:p>
        </w:tc>
        <w:tc>
          <w:tcPr>
            <w:tcW w:w="1860" w:type="dxa"/>
          </w:tcPr>
          <w:p w:rsidR="002F01AD" w:rsidRPr="00FF633D" w:rsidRDefault="002F01AD" w:rsidP="00486FB5">
            <w:pPr>
              <w:rPr>
                <w:rFonts w:ascii="Times New Roman" w:hAnsi="Times New Roman" w:cs="Times New Roman"/>
                <w:sz w:val="24"/>
                <w:szCs w:val="24"/>
              </w:rPr>
            </w:pPr>
            <w:r w:rsidRPr="00FF633D">
              <w:rPr>
                <w:rFonts w:ascii="Times New Roman" w:hAnsi="Times New Roman" w:cs="Times New Roman"/>
                <w:sz w:val="24"/>
                <w:szCs w:val="24"/>
              </w:rPr>
              <w:t>30.5% **</w:t>
            </w:r>
          </w:p>
          <w:p w:rsidR="002F01AD" w:rsidRPr="00FF633D" w:rsidRDefault="002F01AD" w:rsidP="00486FB5">
            <w:pPr>
              <w:rPr>
                <w:rFonts w:ascii="Times New Roman" w:hAnsi="Times New Roman" w:cs="Times New Roman"/>
                <w:sz w:val="24"/>
                <w:szCs w:val="24"/>
              </w:rPr>
            </w:pPr>
            <w:r w:rsidRPr="00FF633D">
              <w:rPr>
                <w:rFonts w:ascii="Times New Roman" w:hAnsi="Times New Roman" w:cs="Times New Roman"/>
                <w:sz w:val="24"/>
                <w:szCs w:val="24"/>
              </w:rPr>
              <w:t>based on $ amt</w:t>
            </w:r>
          </w:p>
        </w:tc>
        <w:tc>
          <w:tcPr>
            <w:tcW w:w="1860" w:type="dxa"/>
          </w:tcPr>
          <w:p w:rsidR="002F01AD" w:rsidRPr="00FF633D" w:rsidRDefault="00036288" w:rsidP="00486FB5">
            <w:pPr>
              <w:rPr>
                <w:rFonts w:ascii="Times New Roman" w:hAnsi="Times New Roman" w:cs="Times New Roman"/>
                <w:sz w:val="24"/>
                <w:szCs w:val="24"/>
              </w:rPr>
            </w:pPr>
            <w:r w:rsidRPr="00FF633D">
              <w:rPr>
                <w:rFonts w:ascii="Times New Roman" w:hAnsi="Times New Roman" w:cs="Times New Roman"/>
                <w:sz w:val="24"/>
                <w:szCs w:val="24"/>
              </w:rPr>
              <w:t>(2.5%)</w:t>
            </w:r>
          </w:p>
        </w:tc>
      </w:tr>
      <w:tr w:rsidR="002F01AD" w:rsidRPr="00FF633D" w:rsidTr="004D197D">
        <w:tc>
          <w:tcPr>
            <w:tcW w:w="2790" w:type="dxa"/>
          </w:tcPr>
          <w:p w:rsidR="002F01AD" w:rsidRPr="00FF633D" w:rsidRDefault="002F01AD" w:rsidP="00CF0ED8">
            <w:pPr>
              <w:rPr>
                <w:rFonts w:ascii="Times New Roman" w:hAnsi="Times New Roman" w:cs="Times New Roman"/>
                <w:sz w:val="24"/>
                <w:szCs w:val="24"/>
              </w:rPr>
            </w:pPr>
            <w:r w:rsidRPr="00FF633D">
              <w:rPr>
                <w:rFonts w:ascii="Times New Roman" w:hAnsi="Times New Roman" w:cs="Times New Roman"/>
                <w:sz w:val="24"/>
                <w:szCs w:val="24"/>
              </w:rPr>
              <w:t>Copy Paper purchased through Office Depot</w:t>
            </w:r>
          </w:p>
        </w:tc>
        <w:tc>
          <w:tcPr>
            <w:tcW w:w="1322" w:type="dxa"/>
          </w:tcPr>
          <w:p w:rsidR="002F01AD" w:rsidRPr="00FF633D" w:rsidRDefault="002F01AD" w:rsidP="00966FD9">
            <w:pPr>
              <w:rPr>
                <w:rFonts w:ascii="Times New Roman" w:hAnsi="Times New Roman" w:cs="Times New Roman"/>
                <w:sz w:val="24"/>
                <w:szCs w:val="24"/>
              </w:rPr>
            </w:pPr>
            <w:r w:rsidRPr="00FF633D">
              <w:rPr>
                <w:rFonts w:ascii="Times New Roman" w:hAnsi="Times New Roman" w:cs="Times New Roman"/>
                <w:sz w:val="24"/>
                <w:szCs w:val="24"/>
              </w:rPr>
              <w:t>2,259 cases</w:t>
            </w:r>
          </w:p>
        </w:tc>
        <w:tc>
          <w:tcPr>
            <w:tcW w:w="1316" w:type="dxa"/>
          </w:tcPr>
          <w:p w:rsidR="002F01AD" w:rsidRPr="00FF633D" w:rsidRDefault="002F01AD" w:rsidP="00966FD9">
            <w:pPr>
              <w:rPr>
                <w:rFonts w:ascii="Times New Roman" w:hAnsi="Times New Roman" w:cs="Times New Roman"/>
                <w:sz w:val="24"/>
                <w:szCs w:val="24"/>
              </w:rPr>
            </w:pPr>
            <w:r w:rsidRPr="00FF633D">
              <w:rPr>
                <w:rFonts w:ascii="Times New Roman" w:hAnsi="Times New Roman" w:cs="Times New Roman"/>
                <w:sz w:val="24"/>
                <w:szCs w:val="24"/>
              </w:rPr>
              <w:t>$35,344</w:t>
            </w:r>
          </w:p>
        </w:tc>
        <w:tc>
          <w:tcPr>
            <w:tcW w:w="2222" w:type="dxa"/>
          </w:tcPr>
          <w:p w:rsidR="002F01AD" w:rsidRPr="00FF633D" w:rsidRDefault="002F01AD" w:rsidP="00966FD9">
            <w:pPr>
              <w:rPr>
                <w:rFonts w:ascii="Times New Roman" w:hAnsi="Times New Roman" w:cs="Times New Roman"/>
                <w:sz w:val="24"/>
                <w:szCs w:val="24"/>
              </w:rPr>
            </w:pPr>
            <w:r w:rsidRPr="00FF633D">
              <w:rPr>
                <w:rFonts w:ascii="Times New Roman" w:hAnsi="Times New Roman" w:cs="Times New Roman"/>
                <w:sz w:val="24"/>
                <w:szCs w:val="24"/>
              </w:rPr>
              <w:t>411 cases</w:t>
            </w:r>
          </w:p>
        </w:tc>
        <w:tc>
          <w:tcPr>
            <w:tcW w:w="1440" w:type="dxa"/>
          </w:tcPr>
          <w:p w:rsidR="002F01AD" w:rsidRPr="00FF633D" w:rsidRDefault="002F01AD" w:rsidP="00966FD9">
            <w:pPr>
              <w:rPr>
                <w:rFonts w:ascii="Times New Roman" w:hAnsi="Times New Roman" w:cs="Times New Roman"/>
                <w:sz w:val="24"/>
                <w:szCs w:val="24"/>
              </w:rPr>
            </w:pPr>
            <w:r w:rsidRPr="00FF633D">
              <w:rPr>
                <w:rFonts w:ascii="Times New Roman" w:hAnsi="Times New Roman" w:cs="Times New Roman"/>
                <w:sz w:val="24"/>
                <w:szCs w:val="24"/>
              </w:rPr>
              <w:t>$4,944</w:t>
            </w:r>
          </w:p>
        </w:tc>
        <w:tc>
          <w:tcPr>
            <w:tcW w:w="1860" w:type="dxa"/>
          </w:tcPr>
          <w:p w:rsidR="002F01AD" w:rsidRPr="00FF633D" w:rsidRDefault="002F01AD" w:rsidP="00486FB5">
            <w:pPr>
              <w:rPr>
                <w:rFonts w:ascii="Times New Roman" w:hAnsi="Times New Roman" w:cs="Times New Roman"/>
                <w:sz w:val="24"/>
                <w:szCs w:val="24"/>
              </w:rPr>
            </w:pPr>
            <w:r w:rsidRPr="00FF633D">
              <w:rPr>
                <w:rFonts w:ascii="Times New Roman" w:hAnsi="Times New Roman" w:cs="Times New Roman"/>
                <w:sz w:val="24"/>
                <w:szCs w:val="24"/>
              </w:rPr>
              <w:t>18%</w:t>
            </w:r>
          </w:p>
          <w:p w:rsidR="002F01AD" w:rsidRPr="00FF633D" w:rsidRDefault="002F01AD" w:rsidP="002F01AD">
            <w:pPr>
              <w:rPr>
                <w:rFonts w:ascii="Times New Roman" w:hAnsi="Times New Roman" w:cs="Times New Roman"/>
                <w:sz w:val="24"/>
                <w:szCs w:val="24"/>
              </w:rPr>
            </w:pPr>
            <w:r w:rsidRPr="00FF633D">
              <w:rPr>
                <w:rFonts w:ascii="Times New Roman" w:hAnsi="Times New Roman" w:cs="Times New Roman"/>
                <w:sz w:val="24"/>
                <w:szCs w:val="24"/>
              </w:rPr>
              <w:t xml:space="preserve"> based on qty</w:t>
            </w:r>
          </w:p>
        </w:tc>
        <w:tc>
          <w:tcPr>
            <w:tcW w:w="1860" w:type="dxa"/>
          </w:tcPr>
          <w:p w:rsidR="002F01AD" w:rsidRPr="00FF633D" w:rsidRDefault="00036288" w:rsidP="00486FB5">
            <w:pPr>
              <w:rPr>
                <w:rFonts w:ascii="Times New Roman" w:hAnsi="Times New Roman" w:cs="Times New Roman"/>
                <w:sz w:val="24"/>
                <w:szCs w:val="24"/>
              </w:rPr>
            </w:pPr>
            <w:r w:rsidRPr="00FF633D">
              <w:rPr>
                <w:rFonts w:ascii="Times New Roman" w:hAnsi="Times New Roman" w:cs="Times New Roman"/>
                <w:sz w:val="24"/>
                <w:szCs w:val="24"/>
              </w:rPr>
              <w:t>(2.5%)</w:t>
            </w:r>
          </w:p>
        </w:tc>
      </w:tr>
      <w:tr w:rsidR="002F01AD" w:rsidRPr="00FF633D" w:rsidTr="004D197D">
        <w:tc>
          <w:tcPr>
            <w:tcW w:w="2790" w:type="dxa"/>
          </w:tcPr>
          <w:p w:rsidR="002F01AD" w:rsidRPr="00FF633D" w:rsidRDefault="002F01AD" w:rsidP="00AF2FEF">
            <w:pPr>
              <w:rPr>
                <w:rFonts w:ascii="Times New Roman" w:hAnsi="Times New Roman" w:cs="Times New Roman"/>
                <w:sz w:val="24"/>
                <w:szCs w:val="24"/>
              </w:rPr>
            </w:pPr>
            <w:r w:rsidRPr="00FF633D">
              <w:rPr>
                <w:rFonts w:ascii="Times New Roman" w:hAnsi="Times New Roman" w:cs="Times New Roman"/>
                <w:sz w:val="24"/>
                <w:szCs w:val="24"/>
              </w:rPr>
              <w:t xml:space="preserve">Maintenance, Repair &amp; Operating (MRO) Supplies </w:t>
            </w:r>
          </w:p>
        </w:tc>
        <w:tc>
          <w:tcPr>
            <w:tcW w:w="1322" w:type="dxa"/>
          </w:tcPr>
          <w:p w:rsidR="002F01AD" w:rsidRPr="00FF633D" w:rsidRDefault="002F01AD" w:rsidP="00486FB5">
            <w:pPr>
              <w:rPr>
                <w:rFonts w:ascii="Times New Roman" w:hAnsi="Times New Roman" w:cs="Times New Roman"/>
                <w:sz w:val="24"/>
                <w:szCs w:val="24"/>
              </w:rPr>
            </w:pPr>
            <w:r w:rsidRPr="00FF633D">
              <w:rPr>
                <w:rFonts w:ascii="Times New Roman" w:hAnsi="Times New Roman" w:cs="Times New Roman"/>
                <w:sz w:val="24"/>
                <w:szCs w:val="24"/>
              </w:rPr>
              <w:t>5321 various items</w:t>
            </w:r>
          </w:p>
        </w:tc>
        <w:tc>
          <w:tcPr>
            <w:tcW w:w="1316" w:type="dxa"/>
          </w:tcPr>
          <w:p w:rsidR="002F01AD" w:rsidRPr="00FF633D" w:rsidRDefault="002F01AD" w:rsidP="00954497">
            <w:pPr>
              <w:rPr>
                <w:rFonts w:ascii="Times New Roman" w:hAnsi="Times New Roman" w:cs="Times New Roman"/>
                <w:sz w:val="24"/>
                <w:szCs w:val="24"/>
              </w:rPr>
            </w:pPr>
            <w:r w:rsidRPr="00FF633D">
              <w:rPr>
                <w:rFonts w:ascii="Times New Roman" w:hAnsi="Times New Roman" w:cs="Times New Roman"/>
                <w:sz w:val="24"/>
                <w:szCs w:val="24"/>
              </w:rPr>
              <w:t>$</w:t>
            </w:r>
            <w:r w:rsidR="00954497" w:rsidRPr="00FF633D">
              <w:rPr>
                <w:rFonts w:ascii="Times New Roman" w:hAnsi="Times New Roman" w:cs="Times New Roman"/>
                <w:sz w:val="24"/>
                <w:szCs w:val="24"/>
              </w:rPr>
              <w:t>659,101</w:t>
            </w:r>
          </w:p>
        </w:tc>
        <w:tc>
          <w:tcPr>
            <w:tcW w:w="2222" w:type="dxa"/>
          </w:tcPr>
          <w:p w:rsidR="002F01AD" w:rsidRPr="00FF633D" w:rsidRDefault="002F01AD" w:rsidP="00954497">
            <w:pPr>
              <w:rPr>
                <w:rFonts w:ascii="Times New Roman" w:hAnsi="Times New Roman" w:cs="Times New Roman"/>
                <w:sz w:val="24"/>
                <w:szCs w:val="24"/>
              </w:rPr>
            </w:pPr>
            <w:r w:rsidRPr="00FF633D">
              <w:rPr>
                <w:rFonts w:ascii="Times New Roman" w:hAnsi="Times New Roman" w:cs="Times New Roman"/>
                <w:sz w:val="24"/>
                <w:szCs w:val="24"/>
              </w:rPr>
              <w:t>1</w:t>
            </w:r>
            <w:r w:rsidR="00954497" w:rsidRPr="00FF633D">
              <w:rPr>
                <w:rFonts w:ascii="Times New Roman" w:hAnsi="Times New Roman" w:cs="Times New Roman"/>
                <w:sz w:val="24"/>
                <w:szCs w:val="24"/>
              </w:rPr>
              <w:t>5</w:t>
            </w:r>
            <w:r w:rsidRPr="00FF633D">
              <w:rPr>
                <w:rFonts w:ascii="Times New Roman" w:hAnsi="Times New Roman" w:cs="Times New Roman"/>
                <w:sz w:val="24"/>
                <w:szCs w:val="24"/>
              </w:rPr>
              <w:t xml:space="preserve"> items</w:t>
            </w:r>
          </w:p>
        </w:tc>
        <w:tc>
          <w:tcPr>
            <w:tcW w:w="1440" w:type="dxa"/>
          </w:tcPr>
          <w:p w:rsidR="002F01AD" w:rsidRPr="00FF633D" w:rsidRDefault="002F01AD" w:rsidP="00954497">
            <w:pPr>
              <w:rPr>
                <w:rFonts w:ascii="Times New Roman" w:hAnsi="Times New Roman" w:cs="Times New Roman"/>
                <w:sz w:val="24"/>
                <w:szCs w:val="24"/>
              </w:rPr>
            </w:pPr>
            <w:r w:rsidRPr="00FF633D">
              <w:rPr>
                <w:rFonts w:ascii="Times New Roman" w:hAnsi="Times New Roman" w:cs="Times New Roman"/>
                <w:sz w:val="24"/>
                <w:szCs w:val="24"/>
              </w:rPr>
              <w:t>$</w:t>
            </w:r>
            <w:r w:rsidR="00954497" w:rsidRPr="00FF633D">
              <w:rPr>
                <w:rFonts w:ascii="Times New Roman" w:hAnsi="Times New Roman" w:cs="Times New Roman"/>
                <w:sz w:val="24"/>
                <w:szCs w:val="24"/>
              </w:rPr>
              <w:t>22,297</w:t>
            </w:r>
          </w:p>
        </w:tc>
        <w:tc>
          <w:tcPr>
            <w:tcW w:w="1860" w:type="dxa"/>
          </w:tcPr>
          <w:p w:rsidR="002F01AD" w:rsidRPr="00FF633D" w:rsidRDefault="00954497" w:rsidP="00486FB5">
            <w:pPr>
              <w:rPr>
                <w:rFonts w:ascii="Times New Roman" w:hAnsi="Times New Roman" w:cs="Times New Roman"/>
                <w:sz w:val="24"/>
                <w:szCs w:val="24"/>
              </w:rPr>
            </w:pPr>
            <w:r w:rsidRPr="00FF633D">
              <w:rPr>
                <w:rFonts w:ascii="Times New Roman" w:hAnsi="Times New Roman" w:cs="Times New Roman"/>
                <w:sz w:val="24"/>
                <w:szCs w:val="24"/>
              </w:rPr>
              <w:t>3</w:t>
            </w:r>
            <w:r w:rsidR="002F01AD" w:rsidRPr="00FF633D">
              <w:rPr>
                <w:rFonts w:ascii="Times New Roman" w:hAnsi="Times New Roman" w:cs="Times New Roman"/>
                <w:sz w:val="24"/>
                <w:szCs w:val="24"/>
              </w:rPr>
              <w:t>% **</w:t>
            </w:r>
          </w:p>
          <w:p w:rsidR="002F01AD" w:rsidRPr="00FF633D" w:rsidRDefault="002F01AD" w:rsidP="00486FB5">
            <w:pPr>
              <w:rPr>
                <w:rFonts w:ascii="Times New Roman" w:hAnsi="Times New Roman" w:cs="Times New Roman"/>
                <w:sz w:val="24"/>
                <w:szCs w:val="24"/>
              </w:rPr>
            </w:pPr>
            <w:r w:rsidRPr="00FF633D">
              <w:rPr>
                <w:rFonts w:ascii="Times New Roman" w:hAnsi="Times New Roman" w:cs="Times New Roman"/>
                <w:sz w:val="24"/>
                <w:szCs w:val="24"/>
              </w:rPr>
              <w:t>based on $ amt</w:t>
            </w:r>
          </w:p>
        </w:tc>
        <w:tc>
          <w:tcPr>
            <w:tcW w:w="1860" w:type="dxa"/>
          </w:tcPr>
          <w:p w:rsidR="002F01AD" w:rsidRPr="00FF633D" w:rsidRDefault="004D197D" w:rsidP="00486FB5">
            <w:pPr>
              <w:rPr>
                <w:rFonts w:ascii="Times New Roman" w:hAnsi="Times New Roman" w:cs="Times New Roman"/>
                <w:sz w:val="24"/>
                <w:szCs w:val="24"/>
              </w:rPr>
            </w:pPr>
            <w:r w:rsidRPr="00FF633D">
              <w:rPr>
                <w:rFonts w:ascii="Times New Roman" w:hAnsi="Times New Roman" w:cs="Times New Roman"/>
                <w:sz w:val="24"/>
                <w:szCs w:val="24"/>
              </w:rPr>
              <w:t>(2%)</w:t>
            </w:r>
          </w:p>
        </w:tc>
      </w:tr>
      <w:tr w:rsidR="002F01AD" w:rsidRPr="00FF633D" w:rsidTr="004D197D">
        <w:tc>
          <w:tcPr>
            <w:tcW w:w="2790" w:type="dxa"/>
          </w:tcPr>
          <w:p w:rsidR="002F01AD" w:rsidRPr="00FF633D" w:rsidRDefault="002F01AD" w:rsidP="00AF2FEF">
            <w:pPr>
              <w:rPr>
                <w:rFonts w:ascii="Times New Roman" w:hAnsi="Times New Roman" w:cs="Times New Roman"/>
                <w:sz w:val="24"/>
                <w:szCs w:val="24"/>
              </w:rPr>
            </w:pPr>
            <w:r w:rsidRPr="00FF633D">
              <w:rPr>
                <w:rFonts w:ascii="Times New Roman" w:hAnsi="Times New Roman" w:cs="Times New Roman"/>
                <w:sz w:val="24"/>
                <w:szCs w:val="24"/>
              </w:rPr>
              <w:t>Furniture (office, modular, conference)</w:t>
            </w:r>
          </w:p>
        </w:tc>
        <w:tc>
          <w:tcPr>
            <w:tcW w:w="1322" w:type="dxa"/>
          </w:tcPr>
          <w:p w:rsidR="002F01AD" w:rsidRPr="00FF633D" w:rsidRDefault="008A46F1" w:rsidP="00486FB5">
            <w:pPr>
              <w:rPr>
                <w:rFonts w:ascii="Times New Roman" w:hAnsi="Times New Roman" w:cs="Times New Roman"/>
                <w:sz w:val="24"/>
                <w:szCs w:val="24"/>
              </w:rPr>
            </w:pPr>
            <w:r w:rsidRPr="00FF633D">
              <w:rPr>
                <w:rFonts w:ascii="Times New Roman" w:hAnsi="Times New Roman" w:cs="Times New Roman"/>
                <w:sz w:val="24"/>
                <w:szCs w:val="24"/>
              </w:rPr>
              <w:t>408</w:t>
            </w:r>
          </w:p>
        </w:tc>
        <w:tc>
          <w:tcPr>
            <w:tcW w:w="1316" w:type="dxa"/>
          </w:tcPr>
          <w:p w:rsidR="002F01AD" w:rsidRPr="00FF633D" w:rsidRDefault="002F01AD" w:rsidP="008A46F1">
            <w:pPr>
              <w:rPr>
                <w:rFonts w:ascii="Times New Roman" w:hAnsi="Times New Roman" w:cs="Times New Roman"/>
                <w:sz w:val="24"/>
                <w:szCs w:val="24"/>
              </w:rPr>
            </w:pPr>
            <w:r w:rsidRPr="00FF633D">
              <w:rPr>
                <w:rFonts w:ascii="Times New Roman" w:hAnsi="Times New Roman" w:cs="Times New Roman"/>
                <w:sz w:val="24"/>
                <w:szCs w:val="24"/>
              </w:rPr>
              <w:t>$</w:t>
            </w:r>
            <w:r w:rsidR="003D72E9" w:rsidRPr="00FF633D">
              <w:rPr>
                <w:rFonts w:ascii="Times New Roman" w:hAnsi="Times New Roman" w:cs="Times New Roman"/>
                <w:sz w:val="24"/>
                <w:szCs w:val="24"/>
              </w:rPr>
              <w:t>636,53</w:t>
            </w:r>
            <w:r w:rsidR="008A46F1" w:rsidRPr="00FF633D">
              <w:rPr>
                <w:rFonts w:ascii="Times New Roman" w:hAnsi="Times New Roman" w:cs="Times New Roman"/>
                <w:sz w:val="24"/>
                <w:szCs w:val="24"/>
              </w:rPr>
              <w:t>9</w:t>
            </w:r>
          </w:p>
        </w:tc>
        <w:tc>
          <w:tcPr>
            <w:tcW w:w="2222" w:type="dxa"/>
          </w:tcPr>
          <w:p w:rsidR="002F01AD" w:rsidRPr="00FF633D" w:rsidRDefault="002F01AD" w:rsidP="00486FB5">
            <w:pPr>
              <w:rPr>
                <w:rFonts w:ascii="Times New Roman" w:hAnsi="Times New Roman" w:cs="Times New Roman"/>
                <w:sz w:val="24"/>
                <w:szCs w:val="24"/>
              </w:rPr>
            </w:pPr>
            <w:r w:rsidRPr="00FF633D">
              <w:rPr>
                <w:rFonts w:ascii="Times New Roman" w:hAnsi="Times New Roman" w:cs="Times New Roman"/>
                <w:sz w:val="24"/>
                <w:szCs w:val="24"/>
              </w:rPr>
              <w:t>Some components or materials of all items</w:t>
            </w:r>
          </w:p>
        </w:tc>
        <w:tc>
          <w:tcPr>
            <w:tcW w:w="1440" w:type="dxa"/>
          </w:tcPr>
          <w:p w:rsidR="002F01AD" w:rsidRPr="00FF633D" w:rsidRDefault="002F01AD" w:rsidP="008A46F1">
            <w:pPr>
              <w:rPr>
                <w:rFonts w:ascii="Times New Roman" w:hAnsi="Times New Roman" w:cs="Times New Roman"/>
                <w:sz w:val="24"/>
                <w:szCs w:val="24"/>
              </w:rPr>
            </w:pPr>
            <w:r w:rsidRPr="00FF633D">
              <w:rPr>
                <w:rFonts w:ascii="Times New Roman" w:hAnsi="Times New Roman" w:cs="Times New Roman"/>
                <w:sz w:val="24"/>
                <w:szCs w:val="24"/>
              </w:rPr>
              <w:t>$</w:t>
            </w:r>
            <w:r w:rsidR="008A46F1" w:rsidRPr="00FF633D">
              <w:rPr>
                <w:rFonts w:ascii="Times New Roman" w:hAnsi="Times New Roman" w:cs="Times New Roman"/>
                <w:sz w:val="24"/>
                <w:szCs w:val="24"/>
              </w:rPr>
              <w:t>254,615</w:t>
            </w:r>
          </w:p>
        </w:tc>
        <w:tc>
          <w:tcPr>
            <w:tcW w:w="1860" w:type="dxa"/>
          </w:tcPr>
          <w:p w:rsidR="002F01AD" w:rsidRPr="00FF633D" w:rsidRDefault="008A46F1" w:rsidP="00486FB5">
            <w:pPr>
              <w:rPr>
                <w:rFonts w:ascii="Times New Roman" w:hAnsi="Times New Roman" w:cs="Times New Roman"/>
                <w:sz w:val="24"/>
                <w:szCs w:val="24"/>
              </w:rPr>
            </w:pPr>
            <w:r w:rsidRPr="00FF633D">
              <w:rPr>
                <w:rFonts w:ascii="Times New Roman" w:hAnsi="Times New Roman" w:cs="Times New Roman"/>
                <w:sz w:val="24"/>
                <w:szCs w:val="24"/>
              </w:rPr>
              <w:t>40</w:t>
            </w:r>
            <w:r w:rsidR="002F01AD" w:rsidRPr="00FF633D">
              <w:rPr>
                <w:rFonts w:ascii="Times New Roman" w:hAnsi="Times New Roman" w:cs="Times New Roman"/>
                <w:sz w:val="24"/>
                <w:szCs w:val="24"/>
              </w:rPr>
              <w:t>% **</w:t>
            </w:r>
          </w:p>
          <w:p w:rsidR="002F01AD" w:rsidRPr="00FF633D" w:rsidRDefault="002F01AD" w:rsidP="00486FB5">
            <w:pPr>
              <w:rPr>
                <w:rFonts w:ascii="Times New Roman" w:hAnsi="Times New Roman" w:cs="Times New Roman"/>
                <w:sz w:val="24"/>
                <w:szCs w:val="24"/>
              </w:rPr>
            </w:pPr>
            <w:r w:rsidRPr="00FF633D">
              <w:rPr>
                <w:rFonts w:ascii="Times New Roman" w:hAnsi="Times New Roman" w:cs="Times New Roman"/>
                <w:sz w:val="24"/>
                <w:szCs w:val="24"/>
              </w:rPr>
              <w:t>based on $ amt</w:t>
            </w:r>
          </w:p>
        </w:tc>
        <w:tc>
          <w:tcPr>
            <w:tcW w:w="1860" w:type="dxa"/>
          </w:tcPr>
          <w:p w:rsidR="002F01AD" w:rsidRPr="00FF633D" w:rsidRDefault="008A46F1" w:rsidP="00486FB5">
            <w:pPr>
              <w:rPr>
                <w:rFonts w:ascii="Times New Roman" w:hAnsi="Times New Roman" w:cs="Times New Roman"/>
                <w:sz w:val="24"/>
                <w:szCs w:val="24"/>
              </w:rPr>
            </w:pPr>
            <w:r w:rsidRPr="00FF633D">
              <w:rPr>
                <w:rFonts w:ascii="Times New Roman" w:hAnsi="Times New Roman" w:cs="Times New Roman"/>
                <w:sz w:val="24"/>
                <w:szCs w:val="24"/>
              </w:rPr>
              <w:t>5%</w:t>
            </w:r>
          </w:p>
        </w:tc>
      </w:tr>
      <w:tr w:rsidR="002F01AD" w:rsidRPr="00FF633D" w:rsidTr="004D197D">
        <w:tc>
          <w:tcPr>
            <w:tcW w:w="2790" w:type="dxa"/>
          </w:tcPr>
          <w:p w:rsidR="002F01AD" w:rsidRPr="00FF633D" w:rsidRDefault="002F01AD" w:rsidP="00486FB5">
            <w:pPr>
              <w:rPr>
                <w:rFonts w:ascii="Times New Roman" w:hAnsi="Times New Roman" w:cs="Times New Roman"/>
                <w:sz w:val="24"/>
                <w:szCs w:val="24"/>
              </w:rPr>
            </w:pPr>
            <w:r w:rsidRPr="00FF633D">
              <w:rPr>
                <w:rFonts w:ascii="Times New Roman" w:hAnsi="Times New Roman" w:cs="Times New Roman"/>
                <w:sz w:val="24"/>
                <w:szCs w:val="24"/>
              </w:rPr>
              <w:t>Cleaning Supplies (Cleansers, degreasers, other chemicals)</w:t>
            </w:r>
          </w:p>
        </w:tc>
        <w:tc>
          <w:tcPr>
            <w:tcW w:w="1322" w:type="dxa"/>
          </w:tcPr>
          <w:p w:rsidR="002F01AD" w:rsidRPr="00FF633D" w:rsidRDefault="002F01AD" w:rsidP="00486FB5">
            <w:pPr>
              <w:rPr>
                <w:rFonts w:ascii="Times New Roman" w:hAnsi="Times New Roman" w:cs="Times New Roman"/>
                <w:sz w:val="24"/>
                <w:szCs w:val="24"/>
              </w:rPr>
            </w:pPr>
            <w:r w:rsidRPr="00FF633D">
              <w:rPr>
                <w:rFonts w:ascii="Times New Roman" w:hAnsi="Times New Roman" w:cs="Times New Roman"/>
                <w:sz w:val="24"/>
                <w:szCs w:val="24"/>
              </w:rPr>
              <w:t>189</w:t>
            </w:r>
          </w:p>
        </w:tc>
        <w:tc>
          <w:tcPr>
            <w:tcW w:w="1316" w:type="dxa"/>
          </w:tcPr>
          <w:p w:rsidR="002F01AD" w:rsidRPr="00FF633D" w:rsidRDefault="002F01AD" w:rsidP="000435E4">
            <w:pPr>
              <w:rPr>
                <w:rFonts w:ascii="Times New Roman" w:hAnsi="Times New Roman" w:cs="Times New Roman"/>
                <w:sz w:val="24"/>
                <w:szCs w:val="24"/>
              </w:rPr>
            </w:pPr>
            <w:r w:rsidRPr="00FF633D">
              <w:rPr>
                <w:rFonts w:ascii="Times New Roman" w:hAnsi="Times New Roman" w:cs="Times New Roman"/>
                <w:sz w:val="24"/>
                <w:szCs w:val="24"/>
              </w:rPr>
              <w:t>$138,668</w:t>
            </w:r>
          </w:p>
        </w:tc>
        <w:tc>
          <w:tcPr>
            <w:tcW w:w="2222" w:type="dxa"/>
          </w:tcPr>
          <w:p w:rsidR="002F01AD" w:rsidRPr="00FF633D" w:rsidRDefault="002F01AD" w:rsidP="00486FB5">
            <w:pPr>
              <w:rPr>
                <w:rFonts w:ascii="Times New Roman" w:hAnsi="Times New Roman" w:cs="Times New Roman"/>
                <w:sz w:val="24"/>
                <w:szCs w:val="24"/>
              </w:rPr>
            </w:pPr>
            <w:r w:rsidRPr="00FF633D">
              <w:rPr>
                <w:rFonts w:ascii="Times New Roman" w:hAnsi="Times New Roman" w:cs="Times New Roman"/>
                <w:sz w:val="24"/>
                <w:szCs w:val="24"/>
              </w:rPr>
              <w:t>62</w:t>
            </w:r>
          </w:p>
          <w:p w:rsidR="002F01AD" w:rsidRPr="00FF633D" w:rsidRDefault="002F01AD" w:rsidP="00486FB5">
            <w:pPr>
              <w:rPr>
                <w:rFonts w:ascii="Times New Roman" w:hAnsi="Times New Roman" w:cs="Times New Roman"/>
                <w:sz w:val="24"/>
                <w:szCs w:val="24"/>
              </w:rPr>
            </w:pPr>
          </w:p>
        </w:tc>
        <w:tc>
          <w:tcPr>
            <w:tcW w:w="1440" w:type="dxa"/>
          </w:tcPr>
          <w:p w:rsidR="002F01AD" w:rsidRPr="00FF633D" w:rsidRDefault="002F01AD" w:rsidP="000435E4">
            <w:pPr>
              <w:rPr>
                <w:rFonts w:ascii="Times New Roman" w:hAnsi="Times New Roman" w:cs="Times New Roman"/>
                <w:sz w:val="24"/>
                <w:szCs w:val="24"/>
              </w:rPr>
            </w:pPr>
            <w:r w:rsidRPr="00FF633D">
              <w:rPr>
                <w:rFonts w:ascii="Times New Roman" w:hAnsi="Times New Roman" w:cs="Times New Roman"/>
                <w:sz w:val="24"/>
                <w:szCs w:val="24"/>
              </w:rPr>
              <w:t>$57,59</w:t>
            </w:r>
            <w:r w:rsidR="008A46F1" w:rsidRPr="00FF633D">
              <w:rPr>
                <w:rFonts w:ascii="Times New Roman" w:hAnsi="Times New Roman" w:cs="Times New Roman"/>
                <w:sz w:val="24"/>
                <w:szCs w:val="24"/>
              </w:rPr>
              <w:t>7</w:t>
            </w:r>
          </w:p>
        </w:tc>
        <w:tc>
          <w:tcPr>
            <w:tcW w:w="1860" w:type="dxa"/>
          </w:tcPr>
          <w:p w:rsidR="002F01AD" w:rsidRPr="00FF633D" w:rsidRDefault="002F01AD" w:rsidP="00486FB5">
            <w:pPr>
              <w:rPr>
                <w:rFonts w:ascii="Times New Roman" w:hAnsi="Times New Roman" w:cs="Times New Roman"/>
                <w:sz w:val="24"/>
                <w:szCs w:val="24"/>
              </w:rPr>
            </w:pPr>
            <w:r w:rsidRPr="00FF633D">
              <w:rPr>
                <w:rFonts w:ascii="Times New Roman" w:hAnsi="Times New Roman" w:cs="Times New Roman"/>
                <w:sz w:val="24"/>
                <w:szCs w:val="24"/>
              </w:rPr>
              <w:t>41.54% **</w:t>
            </w:r>
          </w:p>
          <w:p w:rsidR="002F01AD" w:rsidRPr="00FF633D" w:rsidRDefault="002F01AD" w:rsidP="00486FB5">
            <w:pPr>
              <w:rPr>
                <w:rFonts w:ascii="Times New Roman" w:hAnsi="Times New Roman" w:cs="Times New Roman"/>
                <w:sz w:val="24"/>
                <w:szCs w:val="24"/>
              </w:rPr>
            </w:pPr>
            <w:r w:rsidRPr="00FF633D">
              <w:rPr>
                <w:rFonts w:ascii="Times New Roman" w:hAnsi="Times New Roman" w:cs="Times New Roman"/>
                <w:sz w:val="24"/>
                <w:szCs w:val="24"/>
              </w:rPr>
              <w:t>based on $ amt</w:t>
            </w:r>
          </w:p>
        </w:tc>
        <w:tc>
          <w:tcPr>
            <w:tcW w:w="1860" w:type="dxa"/>
          </w:tcPr>
          <w:p w:rsidR="002F01AD" w:rsidRPr="00FF633D" w:rsidRDefault="00036288" w:rsidP="00486FB5">
            <w:pPr>
              <w:rPr>
                <w:rFonts w:ascii="Times New Roman" w:hAnsi="Times New Roman" w:cs="Times New Roman"/>
                <w:sz w:val="24"/>
                <w:szCs w:val="24"/>
              </w:rPr>
            </w:pPr>
            <w:r w:rsidRPr="00FF633D">
              <w:rPr>
                <w:rFonts w:ascii="Times New Roman" w:hAnsi="Times New Roman" w:cs="Times New Roman"/>
                <w:sz w:val="24"/>
                <w:szCs w:val="24"/>
              </w:rPr>
              <w:t>7.5%</w:t>
            </w:r>
          </w:p>
        </w:tc>
      </w:tr>
    </w:tbl>
    <w:p w:rsidR="00652EEC" w:rsidRPr="00FF633D" w:rsidRDefault="00652EEC" w:rsidP="00652EEC">
      <w:pPr>
        <w:spacing w:after="0" w:line="240" w:lineRule="auto"/>
        <w:rPr>
          <w:rFonts w:ascii="Times New Roman" w:hAnsi="Times New Roman" w:cs="Times New Roman"/>
          <w:sz w:val="24"/>
          <w:szCs w:val="24"/>
        </w:rPr>
      </w:pPr>
    </w:p>
    <w:p w:rsidR="002F79F2" w:rsidRPr="00FF633D" w:rsidRDefault="004814BD" w:rsidP="001A5A53">
      <w:pPr>
        <w:rPr>
          <w:rFonts w:ascii="Times New Roman" w:hAnsi="Times New Roman" w:cs="Times New Roman"/>
          <w:sz w:val="24"/>
          <w:szCs w:val="24"/>
        </w:rPr>
        <w:sectPr w:rsidR="002F79F2" w:rsidRPr="00FF633D" w:rsidSect="006C21B9">
          <w:pgSz w:w="15840" w:h="12240" w:orient="landscape"/>
          <w:pgMar w:top="1440" w:right="1440" w:bottom="1440" w:left="1440" w:header="720" w:footer="720" w:gutter="0"/>
          <w:cols w:space="720"/>
          <w:docGrid w:linePitch="360"/>
        </w:sectPr>
      </w:pPr>
      <w:r w:rsidRPr="00FF633D">
        <w:rPr>
          <w:rFonts w:ascii="Times New Roman" w:hAnsi="Times New Roman" w:cs="Times New Roman"/>
          <w:sz w:val="24"/>
          <w:szCs w:val="24"/>
        </w:rPr>
        <w:t>**</w:t>
      </w:r>
      <w:r w:rsidR="00645784" w:rsidRPr="00FF633D">
        <w:rPr>
          <w:rFonts w:ascii="Times New Roman" w:hAnsi="Times New Roman" w:cs="Times New Roman"/>
          <w:sz w:val="24"/>
          <w:szCs w:val="24"/>
        </w:rPr>
        <w:t xml:space="preserve">Note: Percentage calculated on dollar amount </w:t>
      </w:r>
      <w:r w:rsidR="00954497" w:rsidRPr="00FF633D">
        <w:rPr>
          <w:rFonts w:ascii="Times New Roman" w:hAnsi="Times New Roman" w:cs="Times New Roman"/>
          <w:sz w:val="24"/>
          <w:szCs w:val="24"/>
        </w:rPr>
        <w:t xml:space="preserve">versus quantity </w:t>
      </w:r>
      <w:r w:rsidR="00645784" w:rsidRPr="00FF633D">
        <w:rPr>
          <w:rFonts w:ascii="Times New Roman" w:hAnsi="Times New Roman" w:cs="Times New Roman"/>
          <w:sz w:val="24"/>
          <w:szCs w:val="24"/>
        </w:rPr>
        <w:t>due to number of different items within category.</w:t>
      </w:r>
    </w:p>
    <w:p w:rsidR="00155FF8" w:rsidRPr="00FF633D" w:rsidRDefault="007249DF" w:rsidP="008F67AC">
      <w:pPr>
        <w:jc w:val="both"/>
        <w:rPr>
          <w:rFonts w:ascii="Times New Roman" w:hAnsi="Times New Roman" w:cs="Times New Roman"/>
          <w:noProof/>
          <w:sz w:val="24"/>
          <w:szCs w:val="24"/>
        </w:rPr>
      </w:pPr>
      <w:r w:rsidRPr="00FF633D">
        <w:rPr>
          <w:rFonts w:ascii="Times New Roman" w:hAnsi="Times New Roman" w:cs="Times New Roman"/>
          <w:sz w:val="24"/>
          <w:szCs w:val="24"/>
        </w:rPr>
        <w:lastRenderedPageBreak/>
        <w:t xml:space="preserve">Originally, ten (10) items were identified </w:t>
      </w:r>
      <w:r w:rsidR="00954497" w:rsidRPr="00FF633D">
        <w:rPr>
          <w:rFonts w:ascii="Times New Roman" w:hAnsi="Times New Roman" w:cs="Times New Roman"/>
          <w:sz w:val="24"/>
          <w:szCs w:val="24"/>
        </w:rPr>
        <w:t xml:space="preserve">including carpet and motor oils, </w:t>
      </w:r>
      <w:r w:rsidRPr="00FF633D">
        <w:rPr>
          <w:rFonts w:ascii="Times New Roman" w:hAnsi="Times New Roman" w:cs="Times New Roman"/>
          <w:sz w:val="24"/>
          <w:szCs w:val="24"/>
        </w:rPr>
        <w:t xml:space="preserve">and twenty (20) vendors agreed to provide the required data. However, </w:t>
      </w:r>
      <w:r w:rsidR="00CA5565" w:rsidRPr="00FF633D">
        <w:rPr>
          <w:rFonts w:ascii="Times New Roman" w:hAnsi="Times New Roman" w:cs="Times New Roman"/>
          <w:sz w:val="24"/>
          <w:szCs w:val="24"/>
        </w:rPr>
        <w:t xml:space="preserve">several vendors did not provide data as promised, and/or the environmental attributes of some products were not easy to identify </w:t>
      </w:r>
      <w:r w:rsidR="00811021" w:rsidRPr="00FF633D">
        <w:rPr>
          <w:rFonts w:ascii="Times New Roman" w:hAnsi="Times New Roman" w:cs="Times New Roman"/>
          <w:sz w:val="24"/>
          <w:szCs w:val="24"/>
        </w:rPr>
        <w:t xml:space="preserve">or </w:t>
      </w:r>
      <w:r w:rsidR="00CA5565" w:rsidRPr="00FF633D">
        <w:rPr>
          <w:rFonts w:ascii="Times New Roman" w:hAnsi="Times New Roman" w:cs="Times New Roman"/>
          <w:sz w:val="24"/>
          <w:szCs w:val="24"/>
        </w:rPr>
        <w:t>report.</w:t>
      </w:r>
    </w:p>
    <w:p w:rsidR="00155FF8" w:rsidRPr="00FF633D" w:rsidRDefault="00155FF8" w:rsidP="00155FF8">
      <w:pPr>
        <w:rPr>
          <w:rFonts w:ascii="Times New Roman" w:hAnsi="Times New Roman" w:cs="Times New Roman"/>
          <w:b/>
          <w:caps/>
          <w:sz w:val="24"/>
          <w:szCs w:val="24"/>
        </w:rPr>
      </w:pPr>
      <w:r w:rsidRPr="00FF633D">
        <w:rPr>
          <w:rFonts w:ascii="Times New Roman" w:hAnsi="Times New Roman" w:cs="Times New Roman"/>
          <w:b/>
          <w:caps/>
          <w:sz w:val="24"/>
          <w:szCs w:val="24"/>
        </w:rPr>
        <w:t>Printer/Toner Cartridges</w:t>
      </w:r>
    </w:p>
    <w:p w:rsidR="00D66C63" w:rsidRPr="00FF633D" w:rsidRDefault="00D66C63" w:rsidP="00D66C63">
      <w:pPr>
        <w:rPr>
          <w:sz w:val="24"/>
          <w:szCs w:val="24"/>
        </w:rPr>
      </w:pPr>
      <w:r w:rsidRPr="00FF633D">
        <w:rPr>
          <w:noProof/>
          <w:sz w:val="24"/>
          <w:szCs w:val="24"/>
        </w:rPr>
        <w:drawing>
          <wp:inline distT="0" distB="0" distL="0" distR="0">
            <wp:extent cx="5010150" cy="2114550"/>
            <wp:effectExtent l="19050" t="0" r="19050" b="0"/>
            <wp:docPr id="14"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B3D7B" w:rsidRPr="00FF633D" w:rsidRDefault="002B3D7B" w:rsidP="002B3D7B">
      <w:pPr>
        <w:jc w:val="both"/>
        <w:rPr>
          <w:rFonts w:ascii="Times New Roman" w:hAnsi="Times New Roman" w:cs="Times New Roman"/>
          <w:sz w:val="24"/>
          <w:szCs w:val="24"/>
        </w:rPr>
      </w:pPr>
      <w:r w:rsidRPr="00FF633D">
        <w:rPr>
          <w:rFonts w:ascii="Times New Roman" w:hAnsi="Times New Roman" w:cs="Times New Roman"/>
          <w:sz w:val="24"/>
          <w:szCs w:val="24"/>
        </w:rPr>
        <w:t xml:space="preserve">Key Business Units (KBU) purchase toner cartridges for individual desktop printers of all sizes, brands, as well as color and black &amp; white (other than IKON multi-function machines).  Print cartridges are often thrown away once the toner inside is used up. Cartridges contain many components that are in great condition at the end of the expected life of the cartridge. The practice of re-manufacturing cartridges involves disassembling the unit, inspecting and cleaning components, and replacing or refurbishing the unit’s organic photoreceptor cell and </w:t>
      </w:r>
      <w:r w:rsidR="008F67AC" w:rsidRPr="00FF633D">
        <w:rPr>
          <w:rFonts w:ascii="Times New Roman" w:hAnsi="Times New Roman" w:cs="Times New Roman"/>
          <w:sz w:val="24"/>
          <w:szCs w:val="24"/>
        </w:rPr>
        <w:t>replacing the supply of toner.</w:t>
      </w:r>
    </w:p>
    <w:p w:rsidR="002B3D7B" w:rsidRPr="00FF633D" w:rsidRDefault="002B3D7B" w:rsidP="002B3D7B">
      <w:pPr>
        <w:jc w:val="both"/>
        <w:rPr>
          <w:rFonts w:ascii="Times New Roman" w:hAnsi="Times New Roman" w:cs="Times New Roman"/>
          <w:sz w:val="24"/>
          <w:szCs w:val="24"/>
        </w:rPr>
      </w:pPr>
      <w:r w:rsidRPr="00FF633D">
        <w:rPr>
          <w:rFonts w:ascii="Times New Roman" w:hAnsi="Times New Roman" w:cs="Times New Roman"/>
          <w:sz w:val="24"/>
          <w:szCs w:val="24"/>
        </w:rPr>
        <w:t xml:space="preserve">BSS/Procurement Services has solicited citywide contracts for providing both Original Equipment Manufacturer (OEM) and remanufactured cartridges. The contracts with </w:t>
      </w:r>
      <w:proofErr w:type="spellStart"/>
      <w:r w:rsidRPr="00FF633D">
        <w:rPr>
          <w:rFonts w:ascii="Times New Roman" w:hAnsi="Times New Roman" w:cs="Times New Roman"/>
          <w:sz w:val="24"/>
          <w:szCs w:val="24"/>
        </w:rPr>
        <w:t>SunBelt</w:t>
      </w:r>
      <w:proofErr w:type="spellEnd"/>
      <w:r w:rsidRPr="00FF633D">
        <w:rPr>
          <w:rFonts w:ascii="Times New Roman" w:hAnsi="Times New Roman" w:cs="Times New Roman"/>
          <w:sz w:val="24"/>
          <w:szCs w:val="24"/>
        </w:rPr>
        <w:t xml:space="preserve"> Office Supplies and Office Depot allow all KBU to order</w:t>
      </w:r>
      <w:r w:rsidR="008F67AC" w:rsidRPr="00FF633D">
        <w:rPr>
          <w:rFonts w:ascii="Times New Roman" w:hAnsi="Times New Roman" w:cs="Times New Roman"/>
          <w:sz w:val="24"/>
          <w:szCs w:val="24"/>
        </w:rPr>
        <w:t xml:space="preserve"> the cartridge of their choice.</w:t>
      </w:r>
    </w:p>
    <w:p w:rsidR="002B3D7B" w:rsidRPr="00FF633D" w:rsidRDefault="002B3D7B" w:rsidP="002B3D7B">
      <w:pPr>
        <w:jc w:val="both"/>
        <w:rPr>
          <w:rFonts w:ascii="Times New Roman" w:hAnsi="Times New Roman" w:cs="Times New Roman"/>
          <w:sz w:val="24"/>
          <w:szCs w:val="24"/>
        </w:rPr>
      </w:pPr>
      <w:r w:rsidRPr="00FF633D">
        <w:rPr>
          <w:rFonts w:ascii="Times New Roman" w:hAnsi="Times New Roman" w:cs="Times New Roman"/>
          <w:sz w:val="24"/>
          <w:szCs w:val="24"/>
        </w:rPr>
        <w:t>Early on, it was a general belief that remanufactured cartridges produced poor print quality or caused printer equipment problems. Therefore very few remanufactured cartridges were ever purchased. However, today’s technology has drastically improved the quality of the remanufactured cartridges and the purchase of these cartridges increased from 25% to 49% during FY10.</w:t>
      </w:r>
    </w:p>
    <w:p w:rsidR="002B3D7B" w:rsidRPr="00FF633D" w:rsidRDefault="002B3D7B" w:rsidP="002B3D7B">
      <w:pPr>
        <w:jc w:val="both"/>
        <w:rPr>
          <w:rFonts w:ascii="Times New Roman" w:hAnsi="Times New Roman" w:cs="Times New Roman"/>
          <w:sz w:val="24"/>
          <w:szCs w:val="24"/>
        </w:rPr>
      </w:pPr>
      <w:r w:rsidRPr="00FF633D">
        <w:rPr>
          <w:rFonts w:ascii="Times New Roman" w:hAnsi="Times New Roman" w:cs="Times New Roman"/>
          <w:sz w:val="24"/>
          <w:szCs w:val="24"/>
        </w:rPr>
        <w:t>The average costs of remanufactured cartridges are 40% - 60% less than OEM cartridges, which results in a significant savings annually. In addition, the City’s contracts provide free pick-up of all empty cartridges for recycling or remanufacturing purposes and keeps the toxic inks out of the landfills.</w:t>
      </w:r>
    </w:p>
    <w:p w:rsidR="00155FF8" w:rsidRPr="00FF633D" w:rsidRDefault="00155FF8" w:rsidP="00155FF8">
      <w:pPr>
        <w:jc w:val="both"/>
        <w:rPr>
          <w:rFonts w:ascii="Times New Roman" w:hAnsi="Times New Roman" w:cs="Times New Roman"/>
          <w:b/>
          <w:caps/>
          <w:sz w:val="24"/>
          <w:szCs w:val="24"/>
        </w:rPr>
      </w:pPr>
      <w:r w:rsidRPr="00FF633D">
        <w:rPr>
          <w:rFonts w:ascii="Times New Roman" w:hAnsi="Times New Roman" w:cs="Times New Roman"/>
          <w:b/>
          <w:caps/>
          <w:sz w:val="24"/>
          <w:szCs w:val="24"/>
        </w:rPr>
        <w:lastRenderedPageBreak/>
        <w:t>Office Supplies</w:t>
      </w:r>
    </w:p>
    <w:p w:rsidR="00D66C63" w:rsidRPr="00FF633D" w:rsidRDefault="00D66C63" w:rsidP="00D66C63">
      <w:pPr>
        <w:rPr>
          <w:sz w:val="24"/>
          <w:szCs w:val="24"/>
        </w:rPr>
      </w:pPr>
      <w:r w:rsidRPr="00FF633D">
        <w:rPr>
          <w:noProof/>
          <w:sz w:val="24"/>
          <w:szCs w:val="24"/>
        </w:rPr>
        <w:drawing>
          <wp:inline distT="0" distB="0" distL="0" distR="0">
            <wp:extent cx="5010150" cy="2305050"/>
            <wp:effectExtent l="19050" t="0" r="19050" b="0"/>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B3D7B" w:rsidRPr="00FF633D" w:rsidRDefault="002B3D7B" w:rsidP="002B3D7B">
      <w:pPr>
        <w:jc w:val="both"/>
        <w:rPr>
          <w:rFonts w:ascii="Times New Roman" w:hAnsi="Times New Roman" w:cs="Times New Roman"/>
          <w:sz w:val="24"/>
          <w:szCs w:val="24"/>
        </w:rPr>
      </w:pPr>
      <w:r w:rsidRPr="00FF633D">
        <w:rPr>
          <w:rFonts w:ascii="Times New Roman" w:hAnsi="Times New Roman" w:cs="Times New Roman"/>
          <w:sz w:val="24"/>
          <w:szCs w:val="24"/>
        </w:rPr>
        <w:t>The City currently purchases office supplies from Office Depot, which includes everything from pencils/pens, post-it notes, binders, and legal pads, to white boards, paper punches and file cabinets. There are over 13,000 items available in their catalog, which makes it very difficult to itemize, or even summarize the various environmental attributes available as “green” office supplies.  Office supplies manufacturers are increasingly offering a wide range of products made from recycled material, or the materials may be recyclable. Some items may be refilled, instead of purchasing new ones (ink pens), while other items may be non-toxic or biodegradable.</w:t>
      </w:r>
    </w:p>
    <w:p w:rsidR="00642EAD" w:rsidRDefault="002B3D7B" w:rsidP="002B3D7B">
      <w:pPr>
        <w:jc w:val="both"/>
        <w:rPr>
          <w:rFonts w:ascii="Times New Roman" w:hAnsi="Times New Roman" w:cs="Times New Roman"/>
          <w:sz w:val="24"/>
          <w:szCs w:val="24"/>
        </w:rPr>
      </w:pPr>
      <w:r w:rsidRPr="00FF633D">
        <w:rPr>
          <w:rFonts w:ascii="Times New Roman" w:hAnsi="Times New Roman" w:cs="Times New Roman"/>
          <w:sz w:val="24"/>
          <w:szCs w:val="24"/>
        </w:rPr>
        <w:t>Office Depot identifies any available “green” alternatives for many products by including a recycled symbol next to the item descriptions in their catalogs (hard copy and on-line).  City employees always have the option to view these alternatives and make individual decisions regarding their actual product selection.</w:t>
      </w:r>
    </w:p>
    <w:p w:rsidR="002B3D7B" w:rsidRPr="00FF633D" w:rsidRDefault="002B3D7B" w:rsidP="002B3D7B">
      <w:pPr>
        <w:jc w:val="both"/>
        <w:rPr>
          <w:rFonts w:ascii="Times New Roman" w:hAnsi="Times New Roman" w:cs="Times New Roman"/>
          <w:noProof/>
          <w:sz w:val="24"/>
          <w:szCs w:val="24"/>
        </w:rPr>
      </w:pPr>
      <w:r w:rsidRPr="00FF633D">
        <w:rPr>
          <w:rFonts w:ascii="Times New Roman" w:hAnsi="Times New Roman" w:cs="Times New Roman"/>
          <w:noProof/>
          <w:sz w:val="24"/>
          <w:szCs w:val="24"/>
        </w:rPr>
        <w:t>Office Depot has also developed a report which shows a comparison of certain products bought and comparable green products that are actually less expensive. When the Environmental Perferred Purchasing Policy is finalized and adopted, this will be valuable information to share with KBU as they implement new purchasing habits and decisions.</w:t>
      </w:r>
    </w:p>
    <w:p w:rsidR="002B3D7B" w:rsidRPr="00FF633D" w:rsidRDefault="002B3D7B" w:rsidP="002B3D7B">
      <w:pPr>
        <w:jc w:val="both"/>
        <w:rPr>
          <w:rFonts w:ascii="Times New Roman" w:hAnsi="Times New Roman" w:cs="Times New Roman"/>
          <w:noProof/>
          <w:sz w:val="24"/>
          <w:szCs w:val="24"/>
        </w:rPr>
      </w:pPr>
      <w:r w:rsidRPr="00FF633D">
        <w:rPr>
          <w:rFonts w:ascii="Times New Roman" w:hAnsi="Times New Roman" w:cs="Times New Roman"/>
          <w:noProof/>
          <w:sz w:val="24"/>
          <w:szCs w:val="24"/>
        </w:rPr>
        <w:t>PSD continues to work with O</w:t>
      </w:r>
      <w:r w:rsidR="00642EAD">
        <w:rPr>
          <w:rFonts w:ascii="Times New Roman" w:hAnsi="Times New Roman" w:cs="Times New Roman"/>
          <w:noProof/>
          <w:sz w:val="24"/>
          <w:szCs w:val="24"/>
        </w:rPr>
        <w:t>ffice Depot to enhance environmen</w:t>
      </w:r>
      <w:r w:rsidRPr="00FF633D">
        <w:rPr>
          <w:rFonts w:ascii="Times New Roman" w:hAnsi="Times New Roman" w:cs="Times New Roman"/>
          <w:noProof/>
          <w:sz w:val="24"/>
          <w:szCs w:val="24"/>
        </w:rPr>
        <w:t>tally prefereable product offerings, and has began to post messages regarding environmetal purchasing initiatives and available products on the Office Depot customized website that all City employees</w:t>
      </w:r>
      <w:r w:rsidR="008F67AC" w:rsidRPr="00FF633D">
        <w:rPr>
          <w:rFonts w:ascii="Times New Roman" w:hAnsi="Times New Roman" w:cs="Times New Roman"/>
          <w:noProof/>
          <w:sz w:val="24"/>
          <w:szCs w:val="24"/>
        </w:rPr>
        <w:t xml:space="preserve"> see when they access the site.</w:t>
      </w:r>
    </w:p>
    <w:p w:rsidR="00642EAD" w:rsidRDefault="00642EAD">
      <w:pPr>
        <w:rPr>
          <w:rFonts w:ascii="Times New Roman" w:hAnsi="Times New Roman" w:cs="Times New Roman"/>
          <w:b/>
          <w:sz w:val="24"/>
          <w:szCs w:val="24"/>
        </w:rPr>
      </w:pPr>
      <w:r>
        <w:rPr>
          <w:rFonts w:ascii="Times New Roman" w:hAnsi="Times New Roman" w:cs="Times New Roman"/>
          <w:b/>
          <w:sz w:val="24"/>
          <w:szCs w:val="24"/>
        </w:rPr>
        <w:br w:type="page"/>
      </w:r>
    </w:p>
    <w:p w:rsidR="00155FF8" w:rsidRPr="00FF633D" w:rsidRDefault="00155FF8" w:rsidP="00155FF8">
      <w:pPr>
        <w:jc w:val="both"/>
        <w:rPr>
          <w:rFonts w:ascii="Times New Roman" w:hAnsi="Times New Roman" w:cs="Times New Roman"/>
          <w:b/>
          <w:caps/>
          <w:sz w:val="24"/>
          <w:szCs w:val="24"/>
        </w:rPr>
      </w:pPr>
      <w:r w:rsidRPr="00FF633D">
        <w:rPr>
          <w:rFonts w:ascii="Times New Roman" w:hAnsi="Times New Roman" w:cs="Times New Roman"/>
          <w:b/>
          <w:caps/>
          <w:sz w:val="24"/>
          <w:szCs w:val="24"/>
        </w:rPr>
        <w:lastRenderedPageBreak/>
        <w:t>Copy Paper</w:t>
      </w:r>
    </w:p>
    <w:p w:rsidR="002F79F2" w:rsidRPr="00FF633D" w:rsidRDefault="002F79F2" w:rsidP="002F79F2">
      <w:pPr>
        <w:rPr>
          <w:sz w:val="24"/>
          <w:szCs w:val="24"/>
        </w:rPr>
      </w:pPr>
      <w:r w:rsidRPr="00FF633D">
        <w:rPr>
          <w:noProof/>
          <w:sz w:val="24"/>
          <w:szCs w:val="24"/>
        </w:rPr>
        <w:drawing>
          <wp:inline distT="0" distB="0" distL="0" distR="0">
            <wp:extent cx="5010150" cy="1971675"/>
            <wp:effectExtent l="19050" t="0" r="19050" b="0"/>
            <wp:docPr id="16"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B3D7B" w:rsidRPr="00FF633D" w:rsidRDefault="002B3D7B" w:rsidP="002B3D7B">
      <w:pPr>
        <w:jc w:val="both"/>
        <w:rPr>
          <w:rFonts w:ascii="Times New Roman" w:hAnsi="Times New Roman" w:cs="Times New Roman"/>
          <w:sz w:val="24"/>
          <w:szCs w:val="24"/>
        </w:rPr>
      </w:pPr>
      <w:r w:rsidRPr="00FF633D">
        <w:rPr>
          <w:rFonts w:ascii="Times New Roman" w:hAnsi="Times New Roman" w:cs="Times New Roman"/>
          <w:sz w:val="24"/>
          <w:szCs w:val="24"/>
        </w:rPr>
        <w:t>The copy paper data included above represents the KBU purchases for divisional and individual desktop printers and fax machines and does not include the IKON multi-f</w:t>
      </w:r>
      <w:r w:rsidR="008F67AC" w:rsidRPr="00FF633D">
        <w:rPr>
          <w:rFonts w:ascii="Times New Roman" w:hAnsi="Times New Roman" w:cs="Times New Roman"/>
          <w:sz w:val="24"/>
          <w:szCs w:val="24"/>
        </w:rPr>
        <w:t>unction machines or print shop.</w:t>
      </w:r>
    </w:p>
    <w:p w:rsidR="002B3D7B" w:rsidRPr="00FF633D" w:rsidRDefault="002B3D7B" w:rsidP="002B3D7B">
      <w:pPr>
        <w:jc w:val="both"/>
        <w:rPr>
          <w:rFonts w:ascii="Times New Roman" w:hAnsi="Times New Roman" w:cs="Times New Roman"/>
          <w:sz w:val="24"/>
          <w:szCs w:val="24"/>
        </w:rPr>
      </w:pPr>
      <w:r w:rsidRPr="00FF633D">
        <w:rPr>
          <w:rFonts w:ascii="Times New Roman" w:hAnsi="Times New Roman" w:cs="Times New Roman"/>
          <w:sz w:val="24"/>
          <w:szCs w:val="24"/>
        </w:rPr>
        <w:t>During FY10, IKON reported an average of 70% of all Print Shop jobs, and 81% of all copies made on the Multi-Function machines throughout the City was provided on 30% post-consumer recycled paper.  Some Print Shop jobs such as maps, presentations, and glossy prints require virgin paper, and certain Multi-Function machines did not produce quality print with the recycled paper. The City’s new Contract which replaced all Multi-Function Machines and Print Devices with new Ricoh Brand models designed to match department needs with the most appropriate devices will allow 30% post-consumer recycled paper usage, 100% of the time.</w:t>
      </w:r>
    </w:p>
    <w:p w:rsidR="002B3D7B" w:rsidRPr="00FF633D" w:rsidRDefault="002B3D7B" w:rsidP="002B3D7B">
      <w:pPr>
        <w:jc w:val="both"/>
        <w:rPr>
          <w:rFonts w:ascii="Times New Roman" w:hAnsi="Times New Roman" w:cs="Times New Roman"/>
          <w:sz w:val="24"/>
          <w:szCs w:val="24"/>
        </w:rPr>
      </w:pPr>
      <w:r w:rsidRPr="00FF633D">
        <w:rPr>
          <w:rFonts w:ascii="Times New Roman" w:hAnsi="Times New Roman" w:cs="Times New Roman"/>
          <w:sz w:val="24"/>
          <w:szCs w:val="24"/>
        </w:rPr>
        <w:t xml:space="preserve">In addition, the City </w:t>
      </w:r>
      <w:r w:rsidR="00BA43CB">
        <w:rPr>
          <w:rFonts w:ascii="Times New Roman" w:hAnsi="Times New Roman" w:cs="Times New Roman"/>
          <w:sz w:val="24"/>
          <w:szCs w:val="24"/>
        </w:rPr>
        <w:t xml:space="preserve">has implemented a </w:t>
      </w:r>
      <w:proofErr w:type="spellStart"/>
      <w:r w:rsidR="00BA43CB">
        <w:rPr>
          <w:rFonts w:ascii="Times New Roman" w:hAnsi="Times New Roman" w:cs="Times New Roman"/>
          <w:sz w:val="24"/>
          <w:szCs w:val="24"/>
        </w:rPr>
        <w:t>GlobalScan</w:t>
      </w:r>
      <w:proofErr w:type="spellEnd"/>
      <w:r w:rsidR="00BA43CB">
        <w:rPr>
          <w:rFonts w:ascii="Times New Roman" w:hAnsi="Times New Roman" w:cs="Times New Roman"/>
          <w:sz w:val="24"/>
          <w:szCs w:val="24"/>
        </w:rPr>
        <w:t xml:space="preserve"> scanning solution on approximately 50 devices citywide which will facilitate a robust scanning and document management process that will provide for cost savings and environmental efficiencies by providing electronic document capabilities. FY2011 initiatives include the implementation of print job </w:t>
      </w:r>
      <w:r w:rsidRPr="00FF633D">
        <w:rPr>
          <w:rFonts w:ascii="Times New Roman" w:hAnsi="Times New Roman" w:cs="Times New Roman"/>
          <w:sz w:val="24"/>
          <w:szCs w:val="24"/>
        </w:rPr>
        <w:t xml:space="preserve">management and multi-level reporting </w:t>
      </w:r>
      <w:r w:rsidR="00BA43CB">
        <w:rPr>
          <w:rFonts w:ascii="Times New Roman" w:hAnsi="Times New Roman" w:cs="Times New Roman"/>
          <w:sz w:val="24"/>
          <w:szCs w:val="24"/>
        </w:rPr>
        <w:t>solution.</w:t>
      </w:r>
    </w:p>
    <w:p w:rsidR="002F79F2" w:rsidRPr="00FF633D" w:rsidRDefault="002B3D7B" w:rsidP="00D66C63">
      <w:pPr>
        <w:rPr>
          <w:sz w:val="24"/>
          <w:szCs w:val="24"/>
        </w:rPr>
      </w:pPr>
      <w:r w:rsidRPr="00FF633D">
        <w:rPr>
          <w:noProof/>
          <w:sz w:val="24"/>
          <w:szCs w:val="24"/>
        </w:rPr>
        <w:lastRenderedPageBreak/>
        <w:drawing>
          <wp:inline distT="0" distB="0" distL="0" distR="0">
            <wp:extent cx="5162550" cy="2428875"/>
            <wp:effectExtent l="19050" t="0" r="19050" b="0"/>
            <wp:docPr id="4"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55FF8" w:rsidRPr="00FF633D" w:rsidRDefault="00155FF8" w:rsidP="00155FF8">
      <w:pPr>
        <w:rPr>
          <w:rFonts w:ascii="Times New Roman" w:hAnsi="Times New Roman" w:cs="Times New Roman"/>
          <w:b/>
          <w:sz w:val="24"/>
          <w:szCs w:val="24"/>
        </w:rPr>
      </w:pPr>
    </w:p>
    <w:p w:rsidR="00155FF8" w:rsidRPr="00FF633D" w:rsidRDefault="00155FF8" w:rsidP="00155FF8">
      <w:pPr>
        <w:rPr>
          <w:rFonts w:ascii="Times New Roman" w:hAnsi="Times New Roman" w:cs="Times New Roman"/>
          <w:b/>
          <w:sz w:val="24"/>
          <w:szCs w:val="24"/>
        </w:rPr>
      </w:pPr>
    </w:p>
    <w:p w:rsidR="00155FF8" w:rsidRPr="00FF633D" w:rsidRDefault="00155FF8" w:rsidP="00155FF8">
      <w:pPr>
        <w:rPr>
          <w:rFonts w:ascii="Times New Roman" w:hAnsi="Times New Roman" w:cs="Times New Roman"/>
          <w:b/>
          <w:caps/>
          <w:sz w:val="24"/>
          <w:szCs w:val="24"/>
        </w:rPr>
      </w:pPr>
      <w:r w:rsidRPr="00FF633D">
        <w:rPr>
          <w:rFonts w:ascii="Times New Roman" w:hAnsi="Times New Roman" w:cs="Times New Roman"/>
          <w:b/>
          <w:caps/>
          <w:sz w:val="24"/>
          <w:szCs w:val="24"/>
        </w:rPr>
        <w:t>Maintenance, Repair, and Operating (MRO) Supplies</w:t>
      </w:r>
    </w:p>
    <w:p w:rsidR="00954497" w:rsidRPr="00FF633D" w:rsidRDefault="00954497" w:rsidP="00D66C63">
      <w:pPr>
        <w:rPr>
          <w:sz w:val="24"/>
          <w:szCs w:val="24"/>
        </w:rPr>
      </w:pPr>
      <w:r w:rsidRPr="00FF633D">
        <w:rPr>
          <w:noProof/>
          <w:sz w:val="24"/>
          <w:szCs w:val="24"/>
        </w:rPr>
        <w:drawing>
          <wp:inline distT="0" distB="0" distL="0" distR="0">
            <wp:extent cx="5010150" cy="2019300"/>
            <wp:effectExtent l="19050" t="0" r="1905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B3D7B" w:rsidRPr="00FF633D" w:rsidRDefault="002B3D7B" w:rsidP="002B3D7B">
      <w:pPr>
        <w:jc w:val="both"/>
        <w:rPr>
          <w:rFonts w:ascii="Times New Roman" w:hAnsi="Times New Roman" w:cs="Times New Roman"/>
          <w:sz w:val="24"/>
          <w:szCs w:val="24"/>
        </w:rPr>
      </w:pPr>
      <w:r w:rsidRPr="00FF633D">
        <w:rPr>
          <w:rFonts w:ascii="Times New Roman" w:hAnsi="Times New Roman" w:cs="Times New Roman"/>
          <w:sz w:val="24"/>
          <w:szCs w:val="24"/>
        </w:rPr>
        <w:t>This category includes literally thousands of various items such as hand tools (wrenches and screwdrivers), tool boxes, casters, hardware, and batteries. Although some items may contain recycled materials, or conserve water or energy, this industry has not established environmental standards or</w:t>
      </w:r>
      <w:r w:rsidR="008F67AC" w:rsidRPr="00FF633D">
        <w:rPr>
          <w:rFonts w:ascii="Times New Roman" w:hAnsi="Times New Roman" w:cs="Times New Roman"/>
          <w:sz w:val="24"/>
          <w:szCs w:val="24"/>
        </w:rPr>
        <w:t xml:space="preserve"> attributes for many MRO items.</w:t>
      </w:r>
    </w:p>
    <w:p w:rsidR="00155FF8" w:rsidRPr="00FF633D" w:rsidRDefault="002B3D7B" w:rsidP="008F67AC">
      <w:pPr>
        <w:jc w:val="both"/>
        <w:rPr>
          <w:rFonts w:ascii="Times New Roman" w:hAnsi="Times New Roman" w:cs="Times New Roman"/>
          <w:sz w:val="24"/>
          <w:szCs w:val="24"/>
        </w:rPr>
      </w:pPr>
      <w:r w:rsidRPr="00FF633D">
        <w:rPr>
          <w:rFonts w:ascii="Times New Roman" w:hAnsi="Times New Roman" w:cs="Times New Roman"/>
          <w:sz w:val="24"/>
          <w:szCs w:val="24"/>
        </w:rPr>
        <w:t>The data included in this report was provided by Grainger. While the City has a contract with Grainger, KBU purchase MRO Supplies from Home Depot and numerous other sources, which also hinders the ability to effectively capture the City’s spend data for this category. However, Grainger provides many materials that meet LEED certification standards and is willing to align specific internal and external suppliers to meet any future “green” m</w:t>
      </w:r>
      <w:r w:rsidR="008F67AC" w:rsidRPr="00FF633D">
        <w:rPr>
          <w:rFonts w:ascii="Times New Roman" w:hAnsi="Times New Roman" w:cs="Times New Roman"/>
          <w:sz w:val="24"/>
          <w:szCs w:val="24"/>
        </w:rPr>
        <w:t>andates the City may implement.</w:t>
      </w:r>
    </w:p>
    <w:p w:rsidR="00155FF8" w:rsidRPr="00FF633D" w:rsidRDefault="00155FF8" w:rsidP="00155FF8">
      <w:pPr>
        <w:rPr>
          <w:rFonts w:ascii="Times New Roman" w:hAnsi="Times New Roman" w:cs="Times New Roman"/>
          <w:b/>
          <w:caps/>
          <w:sz w:val="24"/>
          <w:szCs w:val="24"/>
        </w:rPr>
      </w:pPr>
      <w:r w:rsidRPr="00FF633D">
        <w:rPr>
          <w:rFonts w:ascii="Times New Roman" w:hAnsi="Times New Roman" w:cs="Times New Roman"/>
          <w:b/>
          <w:caps/>
          <w:sz w:val="24"/>
          <w:szCs w:val="24"/>
        </w:rPr>
        <w:lastRenderedPageBreak/>
        <w:t>Office Furniture</w:t>
      </w:r>
    </w:p>
    <w:p w:rsidR="00FF633D" w:rsidRDefault="00D66C63" w:rsidP="00FF633D">
      <w:pPr>
        <w:rPr>
          <w:sz w:val="24"/>
          <w:szCs w:val="24"/>
        </w:rPr>
      </w:pPr>
      <w:r w:rsidRPr="00FF633D">
        <w:rPr>
          <w:noProof/>
          <w:sz w:val="24"/>
          <w:szCs w:val="24"/>
        </w:rPr>
        <w:drawing>
          <wp:inline distT="0" distB="0" distL="0" distR="0">
            <wp:extent cx="5010150" cy="1876425"/>
            <wp:effectExtent l="19050" t="0" r="19050" b="0"/>
            <wp:docPr id="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F633D" w:rsidRDefault="002B3D7B" w:rsidP="00642EAD">
      <w:pPr>
        <w:jc w:val="both"/>
        <w:rPr>
          <w:sz w:val="24"/>
          <w:szCs w:val="24"/>
        </w:rPr>
      </w:pPr>
      <w:r w:rsidRPr="00FF633D">
        <w:rPr>
          <w:rFonts w:ascii="Times New Roman" w:hAnsi="Times New Roman" w:cs="Times New Roman"/>
          <w:sz w:val="24"/>
          <w:szCs w:val="24"/>
        </w:rPr>
        <w:t>Office furniture and panel systems are made with a variety of materials including gypsum board, metal, wood, plastic and fabric. As a result of the different materials that may be used in manufacture, various environmental issues must be taken into account. Materials used in office furniture may emit VOCs when installed, immediately impacting indoor air quality. Waste generated from the manufacture and disposal of these products can be minimized through reuse, remanufacture and recycling.</w:t>
      </w:r>
    </w:p>
    <w:p w:rsidR="002B3D7B" w:rsidRPr="00FF633D" w:rsidRDefault="002B3D7B" w:rsidP="00642EAD">
      <w:pPr>
        <w:jc w:val="both"/>
        <w:rPr>
          <w:sz w:val="24"/>
          <w:szCs w:val="24"/>
        </w:rPr>
      </w:pPr>
      <w:r w:rsidRPr="00FF633D">
        <w:rPr>
          <w:rFonts w:ascii="Times New Roman" w:hAnsi="Times New Roman" w:cs="Times New Roman"/>
          <w:sz w:val="24"/>
          <w:szCs w:val="24"/>
        </w:rPr>
        <w:t>Although the City purchases numerous brands of furniture from various sources, many KBU have begun to standardize offices by purchasing Knoll furniture, and contributed to more than 60% of all identified furniture purchases during FY10.</w:t>
      </w:r>
    </w:p>
    <w:p w:rsidR="002B3D7B" w:rsidRPr="00FF633D" w:rsidRDefault="002B3D7B" w:rsidP="00642EAD">
      <w:pPr>
        <w:rPr>
          <w:rFonts w:ascii="Times New Roman" w:hAnsi="Times New Roman" w:cs="Times New Roman"/>
          <w:sz w:val="24"/>
          <w:szCs w:val="24"/>
        </w:rPr>
      </w:pPr>
      <w:r w:rsidRPr="00FF633D">
        <w:rPr>
          <w:rFonts w:ascii="Times New Roman" w:hAnsi="Times New Roman" w:cs="Times New Roman"/>
          <w:sz w:val="24"/>
          <w:szCs w:val="24"/>
        </w:rPr>
        <w:t>Knoll is a major furniture manufacturer and the first to earn Forest Stewardship Council (FSC) certification and is a leader in the industry supporting sustainable practices. In addition, 100% of their furniture is certified by GREENGUARD®, an ANSI authorized standards developer that establishes acceptable indoor air</w:t>
      </w:r>
      <w:r w:rsidR="008F67AC" w:rsidRPr="00FF633D">
        <w:rPr>
          <w:rFonts w:ascii="Times New Roman" w:hAnsi="Times New Roman" w:cs="Times New Roman"/>
          <w:sz w:val="24"/>
          <w:szCs w:val="24"/>
        </w:rPr>
        <w:t xml:space="preserve"> standards for indoor products.</w:t>
      </w:r>
    </w:p>
    <w:p w:rsidR="00155FF8" w:rsidRPr="00FF633D" w:rsidRDefault="00155FF8" w:rsidP="00155FF8">
      <w:pPr>
        <w:rPr>
          <w:rFonts w:ascii="Times New Roman" w:hAnsi="Times New Roman" w:cs="Times New Roman"/>
          <w:b/>
          <w:caps/>
          <w:sz w:val="24"/>
          <w:szCs w:val="24"/>
        </w:rPr>
      </w:pPr>
      <w:r w:rsidRPr="00FF633D">
        <w:rPr>
          <w:rFonts w:ascii="Times New Roman" w:hAnsi="Times New Roman" w:cs="Times New Roman"/>
          <w:b/>
          <w:caps/>
          <w:sz w:val="24"/>
          <w:szCs w:val="24"/>
        </w:rPr>
        <w:t>Janitorial Cleaning Products</w:t>
      </w:r>
    </w:p>
    <w:p w:rsidR="00D66C63" w:rsidRPr="00FF633D" w:rsidRDefault="00D66C63" w:rsidP="00D66C63">
      <w:pPr>
        <w:rPr>
          <w:sz w:val="24"/>
          <w:szCs w:val="24"/>
        </w:rPr>
      </w:pPr>
      <w:r w:rsidRPr="00FF633D">
        <w:rPr>
          <w:noProof/>
          <w:sz w:val="24"/>
          <w:szCs w:val="24"/>
        </w:rPr>
        <w:drawing>
          <wp:inline distT="0" distB="0" distL="0" distR="0">
            <wp:extent cx="5105400" cy="1962150"/>
            <wp:effectExtent l="19050" t="0" r="19050" b="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B3D7B" w:rsidRPr="00FF633D" w:rsidRDefault="002B3D7B" w:rsidP="008F67AC">
      <w:pPr>
        <w:jc w:val="both"/>
        <w:rPr>
          <w:rFonts w:ascii="Times New Roman" w:hAnsi="Times New Roman" w:cs="Times New Roman"/>
          <w:sz w:val="24"/>
          <w:szCs w:val="24"/>
        </w:rPr>
      </w:pPr>
      <w:r w:rsidRPr="00FF633D">
        <w:rPr>
          <w:rFonts w:ascii="Times New Roman" w:hAnsi="Times New Roman" w:cs="Times New Roman"/>
          <w:sz w:val="24"/>
          <w:szCs w:val="24"/>
        </w:rPr>
        <w:lastRenderedPageBreak/>
        <w:t>The primary function of industrial and commercial cleaners is for facility and machinery cleaning. The selection of a cleaner is influenced primarily by the nature of the surface to be cleaned, the nature of the soiling, and the degree of cleanliness required. The major ingredients in cleaners are surfactants, builders, solvents, scouring abrasives, and alkalis and many may be toxic. End of life management is essential. Products may be a burden on the environment in terms of wastewater loading and treatment, emissions of VOCs and resource consumption.</w:t>
      </w:r>
    </w:p>
    <w:p w:rsidR="002B3D7B" w:rsidRPr="00FF633D" w:rsidRDefault="002B3D7B" w:rsidP="00642EAD">
      <w:pPr>
        <w:spacing w:after="240"/>
        <w:jc w:val="both"/>
        <w:rPr>
          <w:rFonts w:ascii="Times New Roman" w:hAnsi="Times New Roman" w:cs="Times New Roman"/>
          <w:sz w:val="24"/>
          <w:szCs w:val="24"/>
        </w:rPr>
      </w:pPr>
      <w:r w:rsidRPr="00FF633D">
        <w:rPr>
          <w:rFonts w:ascii="Times New Roman" w:hAnsi="Times New Roman" w:cs="Times New Roman"/>
          <w:sz w:val="24"/>
          <w:szCs w:val="24"/>
        </w:rPr>
        <w:t xml:space="preserve">The majority of cleaners used within City facilities are provided by the contracted cleaning service providers. The data included in this report was provided by </w:t>
      </w:r>
      <w:proofErr w:type="spellStart"/>
      <w:r w:rsidRPr="00FF633D">
        <w:rPr>
          <w:rFonts w:ascii="Times New Roman" w:hAnsi="Times New Roman" w:cs="Times New Roman"/>
          <w:sz w:val="24"/>
          <w:szCs w:val="24"/>
        </w:rPr>
        <w:t>Zep</w:t>
      </w:r>
      <w:proofErr w:type="spellEnd"/>
      <w:r w:rsidRPr="00FF633D">
        <w:rPr>
          <w:rFonts w:ascii="Times New Roman" w:hAnsi="Times New Roman" w:cs="Times New Roman"/>
          <w:sz w:val="24"/>
          <w:szCs w:val="24"/>
        </w:rPr>
        <w:t xml:space="preserve"> Manufacturing and represents the items purchased by various KBU including vehicle wash, hand soap, degreaser, insect repellant, and mops.</w:t>
      </w:r>
    </w:p>
    <w:p w:rsidR="00D66C63" w:rsidRPr="00FF633D" w:rsidRDefault="00D66C63" w:rsidP="001A5A53">
      <w:pPr>
        <w:rPr>
          <w:rFonts w:ascii="Times New Roman" w:hAnsi="Times New Roman" w:cs="Times New Roman"/>
          <w:sz w:val="24"/>
          <w:szCs w:val="24"/>
        </w:rPr>
        <w:sectPr w:rsidR="00D66C63" w:rsidRPr="00FF633D" w:rsidSect="002F79F2">
          <w:pgSz w:w="12240" w:h="15840"/>
          <w:pgMar w:top="1440" w:right="1440" w:bottom="1440" w:left="1440" w:header="720" w:footer="720" w:gutter="0"/>
          <w:cols w:space="720"/>
          <w:docGrid w:linePitch="360"/>
        </w:sectPr>
      </w:pPr>
    </w:p>
    <w:p w:rsidR="00A85B65" w:rsidRPr="00FF633D" w:rsidRDefault="0054777F" w:rsidP="000E7918">
      <w:pPr>
        <w:rPr>
          <w:rFonts w:ascii="Times New Roman" w:hAnsi="Times New Roman" w:cs="Times New Roman"/>
          <w:b/>
          <w:sz w:val="24"/>
          <w:szCs w:val="24"/>
        </w:rPr>
      </w:pPr>
      <w:r w:rsidRPr="00FF633D">
        <w:rPr>
          <w:rFonts w:ascii="Times New Roman" w:hAnsi="Times New Roman" w:cs="Times New Roman"/>
          <w:b/>
          <w:sz w:val="24"/>
          <w:szCs w:val="24"/>
        </w:rPr>
        <w:lastRenderedPageBreak/>
        <w:t xml:space="preserve">ADDITIONAL PRODUCTS </w:t>
      </w:r>
      <w:r w:rsidR="00F430D1" w:rsidRPr="00FF633D">
        <w:rPr>
          <w:rFonts w:ascii="Times New Roman" w:hAnsi="Times New Roman" w:cs="Times New Roman"/>
          <w:b/>
          <w:sz w:val="24"/>
          <w:szCs w:val="24"/>
        </w:rPr>
        <w:t>OF INTEREST</w:t>
      </w:r>
    </w:p>
    <w:p w:rsidR="00652EEC" w:rsidRPr="00FF633D" w:rsidRDefault="00652EEC" w:rsidP="000E7918">
      <w:pPr>
        <w:rPr>
          <w:rFonts w:ascii="Times New Roman" w:hAnsi="Times New Roman" w:cs="Times New Roman"/>
          <w:b/>
          <w:caps/>
          <w:sz w:val="24"/>
          <w:szCs w:val="24"/>
        </w:rPr>
      </w:pPr>
      <w:r w:rsidRPr="00FF633D">
        <w:rPr>
          <w:rFonts w:ascii="Times New Roman" w:hAnsi="Times New Roman" w:cs="Times New Roman"/>
          <w:b/>
          <w:caps/>
          <w:sz w:val="24"/>
          <w:szCs w:val="24"/>
        </w:rPr>
        <w:t>H</w:t>
      </w:r>
      <w:r w:rsidR="0086300E" w:rsidRPr="00FF633D">
        <w:rPr>
          <w:rFonts w:ascii="Times New Roman" w:hAnsi="Times New Roman" w:cs="Times New Roman"/>
          <w:b/>
          <w:caps/>
          <w:sz w:val="24"/>
          <w:szCs w:val="24"/>
        </w:rPr>
        <w:t>ybrid</w:t>
      </w:r>
      <w:r w:rsidRPr="00FF633D">
        <w:rPr>
          <w:rFonts w:ascii="Times New Roman" w:hAnsi="Times New Roman" w:cs="Times New Roman"/>
          <w:b/>
          <w:caps/>
          <w:sz w:val="24"/>
          <w:szCs w:val="24"/>
        </w:rPr>
        <w:t xml:space="preserve"> V</w:t>
      </w:r>
      <w:r w:rsidR="0086300E" w:rsidRPr="00FF633D">
        <w:rPr>
          <w:rFonts w:ascii="Times New Roman" w:hAnsi="Times New Roman" w:cs="Times New Roman"/>
          <w:b/>
          <w:caps/>
          <w:sz w:val="24"/>
          <w:szCs w:val="24"/>
        </w:rPr>
        <w:t>ehicles</w:t>
      </w:r>
    </w:p>
    <w:p w:rsidR="00652EEC" w:rsidRPr="00FF633D" w:rsidRDefault="00652EEC" w:rsidP="008F67AC">
      <w:pPr>
        <w:jc w:val="both"/>
        <w:rPr>
          <w:rFonts w:ascii="Times New Roman" w:hAnsi="Times New Roman" w:cs="Times New Roman"/>
          <w:sz w:val="24"/>
          <w:szCs w:val="24"/>
        </w:rPr>
      </w:pPr>
      <w:r w:rsidRPr="00FF633D">
        <w:rPr>
          <w:rFonts w:ascii="Times New Roman" w:hAnsi="Times New Roman" w:cs="Times New Roman"/>
          <w:sz w:val="24"/>
          <w:szCs w:val="24"/>
        </w:rPr>
        <w:t xml:space="preserve">The City’s current fleet includes </w:t>
      </w:r>
      <w:r w:rsidR="0086300E" w:rsidRPr="00FF633D">
        <w:rPr>
          <w:rFonts w:ascii="Times New Roman" w:hAnsi="Times New Roman" w:cs="Times New Roman"/>
          <w:sz w:val="24"/>
          <w:szCs w:val="24"/>
        </w:rPr>
        <w:t xml:space="preserve">38 </w:t>
      </w:r>
      <w:r w:rsidRPr="00FF633D">
        <w:rPr>
          <w:rFonts w:ascii="Times New Roman" w:hAnsi="Times New Roman" w:cs="Times New Roman"/>
          <w:sz w:val="24"/>
          <w:szCs w:val="24"/>
        </w:rPr>
        <w:t>hybrid vehicles</w:t>
      </w:r>
      <w:r w:rsidR="0086300E" w:rsidRPr="00FF633D">
        <w:rPr>
          <w:rFonts w:ascii="Times New Roman" w:hAnsi="Times New Roman" w:cs="Times New Roman"/>
          <w:sz w:val="24"/>
          <w:szCs w:val="24"/>
        </w:rPr>
        <w:t xml:space="preserve"> as follows</w:t>
      </w:r>
      <w:r w:rsidRPr="00FF633D">
        <w:rPr>
          <w:rFonts w:ascii="Times New Roman" w:hAnsi="Times New Roman" w:cs="Times New Roman"/>
          <w:sz w:val="24"/>
          <w:szCs w:val="24"/>
        </w:rPr>
        <w:t>:</w:t>
      </w:r>
    </w:p>
    <w:p w:rsidR="0086300E" w:rsidRPr="00FF633D" w:rsidRDefault="0086300E" w:rsidP="008F67AC">
      <w:pPr>
        <w:pStyle w:val="ListParagraph"/>
        <w:numPr>
          <w:ilvl w:val="0"/>
          <w:numId w:val="5"/>
        </w:numPr>
        <w:spacing w:after="0" w:line="240" w:lineRule="auto"/>
        <w:contextualSpacing w:val="0"/>
        <w:jc w:val="both"/>
        <w:rPr>
          <w:rFonts w:ascii="Times New Roman" w:hAnsi="Times New Roman" w:cs="Times New Roman"/>
          <w:sz w:val="24"/>
          <w:szCs w:val="24"/>
        </w:rPr>
      </w:pPr>
      <w:r w:rsidRPr="00FF633D">
        <w:rPr>
          <w:rFonts w:ascii="Times New Roman" w:hAnsi="Times New Roman" w:cs="Times New Roman"/>
          <w:sz w:val="24"/>
          <w:szCs w:val="24"/>
        </w:rPr>
        <w:t xml:space="preserve">3 Toyota </w:t>
      </w:r>
      <w:proofErr w:type="spellStart"/>
      <w:r w:rsidRPr="00FF633D">
        <w:rPr>
          <w:rFonts w:ascii="Times New Roman" w:hAnsi="Times New Roman" w:cs="Times New Roman"/>
          <w:sz w:val="24"/>
          <w:szCs w:val="24"/>
        </w:rPr>
        <w:t>Prius</w:t>
      </w:r>
      <w:proofErr w:type="spellEnd"/>
      <w:r w:rsidRPr="00FF633D">
        <w:rPr>
          <w:rFonts w:ascii="Times New Roman" w:hAnsi="Times New Roman" w:cs="Times New Roman"/>
          <w:sz w:val="24"/>
          <w:szCs w:val="24"/>
        </w:rPr>
        <w:t xml:space="preserve"> compact sedans</w:t>
      </w:r>
    </w:p>
    <w:p w:rsidR="0086300E" w:rsidRPr="00FF633D" w:rsidRDefault="0086300E" w:rsidP="008F67AC">
      <w:pPr>
        <w:pStyle w:val="ListParagraph"/>
        <w:numPr>
          <w:ilvl w:val="0"/>
          <w:numId w:val="5"/>
        </w:numPr>
        <w:spacing w:after="0" w:line="240" w:lineRule="auto"/>
        <w:contextualSpacing w:val="0"/>
        <w:jc w:val="both"/>
        <w:rPr>
          <w:rFonts w:ascii="Times New Roman" w:hAnsi="Times New Roman" w:cs="Times New Roman"/>
          <w:sz w:val="24"/>
          <w:szCs w:val="24"/>
        </w:rPr>
      </w:pPr>
      <w:r w:rsidRPr="00FF633D">
        <w:rPr>
          <w:rFonts w:ascii="Times New Roman" w:hAnsi="Times New Roman" w:cs="Times New Roman"/>
          <w:sz w:val="24"/>
          <w:szCs w:val="24"/>
        </w:rPr>
        <w:t>12 Honda Civic compact sedans</w:t>
      </w:r>
    </w:p>
    <w:p w:rsidR="0086300E" w:rsidRPr="00FF633D" w:rsidRDefault="0086300E" w:rsidP="008F67AC">
      <w:pPr>
        <w:pStyle w:val="ListParagraph"/>
        <w:numPr>
          <w:ilvl w:val="0"/>
          <w:numId w:val="5"/>
        </w:numPr>
        <w:spacing w:after="0" w:line="240" w:lineRule="auto"/>
        <w:contextualSpacing w:val="0"/>
        <w:jc w:val="both"/>
        <w:rPr>
          <w:rFonts w:ascii="Times New Roman" w:hAnsi="Times New Roman" w:cs="Times New Roman"/>
          <w:sz w:val="24"/>
          <w:szCs w:val="24"/>
        </w:rPr>
      </w:pPr>
      <w:r w:rsidRPr="00FF633D">
        <w:rPr>
          <w:rFonts w:ascii="Times New Roman" w:hAnsi="Times New Roman" w:cs="Times New Roman"/>
          <w:sz w:val="24"/>
          <w:szCs w:val="24"/>
        </w:rPr>
        <w:t>22 Ford Escape SUVs</w:t>
      </w:r>
    </w:p>
    <w:p w:rsidR="0086300E" w:rsidRPr="00FF633D" w:rsidRDefault="0086300E" w:rsidP="008F67AC">
      <w:pPr>
        <w:pStyle w:val="ListParagraph"/>
        <w:numPr>
          <w:ilvl w:val="0"/>
          <w:numId w:val="5"/>
        </w:numPr>
        <w:spacing w:after="0" w:line="240" w:lineRule="auto"/>
        <w:contextualSpacing w:val="0"/>
        <w:jc w:val="both"/>
        <w:rPr>
          <w:rFonts w:ascii="Times New Roman" w:hAnsi="Times New Roman" w:cs="Times New Roman"/>
          <w:sz w:val="24"/>
          <w:szCs w:val="24"/>
        </w:rPr>
      </w:pPr>
      <w:r w:rsidRPr="00FF633D">
        <w:rPr>
          <w:rFonts w:ascii="Times New Roman" w:hAnsi="Times New Roman" w:cs="Times New Roman"/>
          <w:sz w:val="24"/>
          <w:szCs w:val="24"/>
        </w:rPr>
        <w:t>1 Chevrolet Malibu sedan</w:t>
      </w:r>
    </w:p>
    <w:p w:rsidR="00742F22" w:rsidRPr="00FF633D" w:rsidRDefault="00742F22" w:rsidP="008F67AC">
      <w:pPr>
        <w:spacing w:after="0" w:line="240" w:lineRule="auto"/>
        <w:ind w:left="360"/>
        <w:jc w:val="both"/>
        <w:rPr>
          <w:rFonts w:ascii="Times New Roman" w:hAnsi="Times New Roman" w:cs="Times New Roman"/>
          <w:sz w:val="24"/>
          <w:szCs w:val="24"/>
        </w:rPr>
      </w:pPr>
    </w:p>
    <w:p w:rsidR="00284DB5" w:rsidRPr="00FF633D" w:rsidRDefault="00652EEC" w:rsidP="008F67AC">
      <w:pPr>
        <w:ind w:right="360"/>
        <w:jc w:val="both"/>
        <w:rPr>
          <w:rFonts w:ascii="Times New Roman" w:hAnsi="Times New Roman" w:cs="Times New Roman"/>
          <w:sz w:val="24"/>
          <w:szCs w:val="24"/>
        </w:rPr>
      </w:pPr>
      <w:r w:rsidRPr="00FF633D">
        <w:rPr>
          <w:rFonts w:ascii="Times New Roman" w:hAnsi="Times New Roman" w:cs="Times New Roman"/>
          <w:sz w:val="24"/>
          <w:szCs w:val="24"/>
        </w:rPr>
        <w:t>H</w:t>
      </w:r>
      <w:r w:rsidR="00C81171" w:rsidRPr="00FF633D">
        <w:rPr>
          <w:rFonts w:ascii="Times New Roman" w:hAnsi="Times New Roman" w:cs="Times New Roman"/>
          <w:sz w:val="24"/>
          <w:szCs w:val="24"/>
        </w:rPr>
        <w:t>ybrid vehicles continue to cost 35% to 60% more than gasoline vehicles, which makes a return on the additional investment very difficult to realize. There may be long-term savings in fuel and maintenance costs, but the use of hybrids in the City’s fleet is still new enough that the City’s operational life cycle costs are yet to be determined.  The City’s current budget situation also impacts the ability to incorporate more hybrid vehicles into the fleet. Staff will continue to evaluate the benefits and costs of hybrid technology for future vehicle purchases.</w:t>
      </w:r>
    </w:p>
    <w:p w:rsidR="00284DB5" w:rsidRPr="00FF633D" w:rsidRDefault="00284DB5" w:rsidP="008F67AC">
      <w:pPr>
        <w:ind w:right="360"/>
        <w:jc w:val="both"/>
        <w:rPr>
          <w:rFonts w:ascii="Times New Roman" w:hAnsi="Times New Roman" w:cs="Times New Roman"/>
          <w:b/>
          <w:sz w:val="24"/>
          <w:szCs w:val="24"/>
        </w:rPr>
      </w:pPr>
      <w:r w:rsidRPr="00FF633D">
        <w:rPr>
          <w:rFonts w:ascii="Times New Roman" w:hAnsi="Times New Roman" w:cs="Times New Roman"/>
          <w:b/>
          <w:sz w:val="24"/>
          <w:szCs w:val="24"/>
        </w:rPr>
        <w:t xml:space="preserve">ALTERNATIVE FUEL VEHICLES/VEHICLES </w:t>
      </w:r>
      <w:r w:rsidR="00197A96" w:rsidRPr="00FF633D">
        <w:rPr>
          <w:rFonts w:ascii="Times New Roman" w:hAnsi="Times New Roman" w:cs="Times New Roman"/>
          <w:b/>
          <w:sz w:val="24"/>
          <w:szCs w:val="24"/>
        </w:rPr>
        <w:t>W</w:t>
      </w:r>
      <w:r w:rsidRPr="00FF633D">
        <w:rPr>
          <w:rFonts w:ascii="Times New Roman" w:hAnsi="Times New Roman" w:cs="Times New Roman"/>
          <w:b/>
          <w:sz w:val="24"/>
          <w:szCs w:val="24"/>
        </w:rPr>
        <w:t>ITH EMISSIONS REDUCING TECHNOLOGY</w:t>
      </w:r>
    </w:p>
    <w:p w:rsidR="00284DB5" w:rsidRPr="00FF633D" w:rsidRDefault="00284DB5" w:rsidP="008F67AC">
      <w:pPr>
        <w:ind w:right="360"/>
        <w:jc w:val="both"/>
        <w:rPr>
          <w:rFonts w:ascii="Times New Roman" w:hAnsi="Times New Roman" w:cs="Times New Roman"/>
          <w:sz w:val="24"/>
          <w:szCs w:val="24"/>
        </w:rPr>
      </w:pPr>
      <w:r w:rsidRPr="00FF633D">
        <w:rPr>
          <w:rFonts w:ascii="Times New Roman" w:hAnsi="Times New Roman" w:cs="Times New Roman"/>
          <w:sz w:val="24"/>
          <w:szCs w:val="24"/>
        </w:rPr>
        <w:t xml:space="preserve">With the exception of CATS fixed bus route fleet and </w:t>
      </w:r>
      <w:r w:rsidR="00197A96" w:rsidRPr="00FF633D">
        <w:rPr>
          <w:rFonts w:ascii="Times New Roman" w:hAnsi="Times New Roman" w:cs="Times New Roman"/>
          <w:sz w:val="24"/>
          <w:szCs w:val="24"/>
        </w:rPr>
        <w:t>Aviation’s fleet vehicles, t</w:t>
      </w:r>
      <w:r w:rsidRPr="00FF633D">
        <w:rPr>
          <w:rFonts w:ascii="Times New Roman" w:hAnsi="Times New Roman" w:cs="Times New Roman"/>
          <w:sz w:val="24"/>
          <w:szCs w:val="24"/>
        </w:rPr>
        <w:t xml:space="preserve">he </w:t>
      </w:r>
      <w:r w:rsidR="00197A96" w:rsidRPr="00FF633D">
        <w:rPr>
          <w:rFonts w:ascii="Times New Roman" w:hAnsi="Times New Roman" w:cs="Times New Roman"/>
          <w:sz w:val="24"/>
          <w:szCs w:val="24"/>
        </w:rPr>
        <w:t xml:space="preserve">remainder of the </w:t>
      </w:r>
      <w:r w:rsidRPr="00FF633D">
        <w:rPr>
          <w:rFonts w:ascii="Times New Roman" w:hAnsi="Times New Roman" w:cs="Times New Roman"/>
          <w:sz w:val="24"/>
          <w:szCs w:val="24"/>
        </w:rPr>
        <w:t>City’s current fleet also includes 638 alternative fuel vehicles</w:t>
      </w:r>
      <w:r w:rsidR="00197A96" w:rsidRPr="00FF633D">
        <w:rPr>
          <w:rFonts w:ascii="Times New Roman" w:hAnsi="Times New Roman" w:cs="Times New Roman"/>
          <w:sz w:val="24"/>
          <w:szCs w:val="24"/>
        </w:rPr>
        <w:t xml:space="preserve"> or vehicles that are outfitted with emissions reducing technology.  City departments continue to look for opportunities to safeguard the environment by promoting the use of environmentally friendly fleet vehicles and technologies.</w:t>
      </w:r>
    </w:p>
    <w:p w:rsidR="00742F22" w:rsidRPr="00FF633D" w:rsidRDefault="00742F22" w:rsidP="008F67AC">
      <w:pPr>
        <w:ind w:right="360"/>
        <w:jc w:val="both"/>
        <w:rPr>
          <w:rFonts w:ascii="Times New Roman" w:hAnsi="Times New Roman" w:cs="Times New Roman"/>
          <w:sz w:val="24"/>
          <w:szCs w:val="24"/>
        </w:rPr>
      </w:pPr>
    </w:p>
    <w:p w:rsidR="0086300E" w:rsidRPr="00FF633D" w:rsidRDefault="0086300E" w:rsidP="00742F22">
      <w:pPr>
        <w:ind w:right="360"/>
        <w:jc w:val="center"/>
        <w:rPr>
          <w:rFonts w:ascii="Times New Roman" w:hAnsi="Times New Roman" w:cs="Times New Roman"/>
          <w:sz w:val="24"/>
          <w:szCs w:val="24"/>
        </w:rPr>
        <w:sectPr w:rsidR="0086300E" w:rsidRPr="00FF633D" w:rsidSect="0086300E">
          <w:type w:val="continuous"/>
          <w:pgSz w:w="12240" w:h="15840"/>
          <w:pgMar w:top="1440" w:right="1440" w:bottom="1440" w:left="1440" w:header="720" w:footer="720" w:gutter="0"/>
          <w:cols w:space="720"/>
          <w:docGrid w:linePitch="360"/>
        </w:sectPr>
      </w:pPr>
    </w:p>
    <w:p w:rsidR="009A593B" w:rsidRPr="00FF633D" w:rsidRDefault="009A593B" w:rsidP="004910F3">
      <w:pPr>
        <w:jc w:val="both"/>
        <w:rPr>
          <w:rFonts w:ascii="Times New Roman" w:hAnsi="Times New Roman" w:cs="Times New Roman"/>
          <w:b/>
          <w:sz w:val="24"/>
          <w:szCs w:val="24"/>
        </w:rPr>
      </w:pPr>
      <w:r w:rsidRPr="00FF633D">
        <w:rPr>
          <w:rFonts w:ascii="Times New Roman" w:hAnsi="Times New Roman" w:cs="Times New Roman"/>
          <w:b/>
          <w:sz w:val="24"/>
          <w:szCs w:val="24"/>
        </w:rPr>
        <w:lastRenderedPageBreak/>
        <w:t>CHALLENGES</w:t>
      </w:r>
    </w:p>
    <w:p w:rsidR="009A593B" w:rsidRPr="00FF633D" w:rsidRDefault="009A593B" w:rsidP="00197A96">
      <w:pPr>
        <w:jc w:val="both"/>
        <w:rPr>
          <w:rFonts w:ascii="Times New Roman" w:hAnsi="Times New Roman" w:cs="Times New Roman"/>
          <w:sz w:val="24"/>
          <w:szCs w:val="24"/>
        </w:rPr>
      </w:pPr>
      <w:r w:rsidRPr="00FF633D">
        <w:rPr>
          <w:rFonts w:ascii="Times New Roman" w:hAnsi="Times New Roman" w:cs="Times New Roman"/>
          <w:sz w:val="24"/>
          <w:szCs w:val="24"/>
        </w:rPr>
        <w:t>A number of factors challenge efforts to increase environmental purchasing</w:t>
      </w:r>
      <w:r w:rsidR="00197A96" w:rsidRPr="00FF633D">
        <w:rPr>
          <w:rFonts w:ascii="Times New Roman" w:hAnsi="Times New Roman" w:cs="Times New Roman"/>
          <w:sz w:val="24"/>
          <w:szCs w:val="24"/>
        </w:rPr>
        <w:t xml:space="preserve"> including but not limited to the following considerations:</w:t>
      </w:r>
    </w:p>
    <w:p w:rsidR="00580FC5" w:rsidRPr="00FF633D" w:rsidRDefault="00580FC5" w:rsidP="00197A96">
      <w:pPr>
        <w:pStyle w:val="ListParagraph"/>
        <w:numPr>
          <w:ilvl w:val="0"/>
          <w:numId w:val="1"/>
        </w:numPr>
        <w:spacing w:after="120" w:line="240" w:lineRule="auto"/>
        <w:contextualSpacing w:val="0"/>
        <w:jc w:val="both"/>
        <w:rPr>
          <w:rFonts w:ascii="Times New Roman" w:hAnsi="Times New Roman" w:cs="Times New Roman"/>
          <w:sz w:val="24"/>
          <w:szCs w:val="24"/>
        </w:rPr>
      </w:pPr>
      <w:r w:rsidRPr="00FF633D">
        <w:rPr>
          <w:rFonts w:ascii="Times New Roman" w:hAnsi="Times New Roman" w:cs="Times New Roman"/>
          <w:sz w:val="24"/>
          <w:szCs w:val="24"/>
        </w:rPr>
        <w:t>The City has not established targeted increases in environmental purchasing and Key Business Units continue to make indi</w:t>
      </w:r>
      <w:r w:rsidR="00197A96" w:rsidRPr="00FF633D">
        <w:rPr>
          <w:rFonts w:ascii="Times New Roman" w:hAnsi="Times New Roman" w:cs="Times New Roman"/>
          <w:sz w:val="24"/>
          <w:szCs w:val="24"/>
        </w:rPr>
        <w:t>vidual green spending decisions.</w:t>
      </w:r>
    </w:p>
    <w:p w:rsidR="009A593B" w:rsidRPr="00FF633D" w:rsidRDefault="005D596E" w:rsidP="00197A96">
      <w:pPr>
        <w:pStyle w:val="ListParagraph"/>
        <w:numPr>
          <w:ilvl w:val="0"/>
          <w:numId w:val="1"/>
        </w:numPr>
        <w:spacing w:after="120" w:line="240" w:lineRule="auto"/>
        <w:contextualSpacing w:val="0"/>
        <w:jc w:val="both"/>
        <w:rPr>
          <w:rFonts w:ascii="Times New Roman" w:hAnsi="Times New Roman" w:cs="Times New Roman"/>
          <w:sz w:val="24"/>
          <w:szCs w:val="24"/>
        </w:rPr>
      </w:pPr>
      <w:r w:rsidRPr="00FF633D">
        <w:rPr>
          <w:rFonts w:ascii="Times New Roman" w:hAnsi="Times New Roman" w:cs="Times New Roman"/>
          <w:sz w:val="24"/>
          <w:szCs w:val="24"/>
        </w:rPr>
        <w:t>Employees</w:t>
      </w:r>
      <w:r w:rsidR="009A593B" w:rsidRPr="00FF633D">
        <w:rPr>
          <w:rFonts w:ascii="Times New Roman" w:hAnsi="Times New Roman" w:cs="Times New Roman"/>
          <w:sz w:val="24"/>
          <w:szCs w:val="24"/>
        </w:rPr>
        <w:t xml:space="preserve"> are often not familiar with the use of many environmentally preferable products and are uncertain of the ways in which they might be effectively specified and applied in place of familiar produc</w:t>
      </w:r>
      <w:r w:rsidR="00F92BF6" w:rsidRPr="00FF633D">
        <w:rPr>
          <w:rFonts w:ascii="Times New Roman" w:hAnsi="Times New Roman" w:cs="Times New Roman"/>
          <w:sz w:val="24"/>
          <w:szCs w:val="24"/>
        </w:rPr>
        <w:t>ts.</w:t>
      </w:r>
    </w:p>
    <w:p w:rsidR="005D596E" w:rsidRPr="00FF633D" w:rsidRDefault="005D596E" w:rsidP="00197A96">
      <w:pPr>
        <w:pStyle w:val="ListParagraph"/>
        <w:numPr>
          <w:ilvl w:val="0"/>
          <w:numId w:val="1"/>
        </w:numPr>
        <w:spacing w:after="120" w:line="240" w:lineRule="auto"/>
        <w:contextualSpacing w:val="0"/>
        <w:jc w:val="both"/>
        <w:rPr>
          <w:rFonts w:ascii="Times New Roman" w:hAnsi="Times New Roman" w:cs="Times New Roman"/>
          <w:sz w:val="24"/>
          <w:szCs w:val="24"/>
        </w:rPr>
      </w:pPr>
      <w:r w:rsidRPr="00FF633D">
        <w:rPr>
          <w:rFonts w:ascii="Times New Roman" w:hAnsi="Times New Roman" w:cs="Times New Roman"/>
          <w:sz w:val="24"/>
          <w:szCs w:val="24"/>
        </w:rPr>
        <w:t>The use of environmentally preferable products must be effective and fiscally responsible</w:t>
      </w:r>
      <w:r w:rsidR="00197A96" w:rsidRPr="00FF633D">
        <w:rPr>
          <w:rFonts w:ascii="Times New Roman" w:hAnsi="Times New Roman" w:cs="Times New Roman"/>
          <w:sz w:val="24"/>
          <w:szCs w:val="24"/>
        </w:rPr>
        <w:t>.</w:t>
      </w:r>
    </w:p>
    <w:p w:rsidR="009A593B" w:rsidRPr="00FF633D" w:rsidRDefault="005D596E" w:rsidP="00197A96">
      <w:pPr>
        <w:pStyle w:val="ListParagraph"/>
        <w:numPr>
          <w:ilvl w:val="0"/>
          <w:numId w:val="1"/>
        </w:numPr>
        <w:spacing w:after="120" w:line="240" w:lineRule="auto"/>
        <w:contextualSpacing w:val="0"/>
        <w:jc w:val="both"/>
        <w:rPr>
          <w:rFonts w:ascii="Times New Roman" w:hAnsi="Times New Roman" w:cs="Times New Roman"/>
          <w:sz w:val="24"/>
          <w:szCs w:val="24"/>
        </w:rPr>
      </w:pPr>
      <w:r w:rsidRPr="00FF633D">
        <w:rPr>
          <w:rFonts w:ascii="Times New Roman" w:hAnsi="Times New Roman" w:cs="Times New Roman"/>
          <w:sz w:val="24"/>
          <w:szCs w:val="24"/>
        </w:rPr>
        <w:t xml:space="preserve">Current deficiencies in the financial system and associated procurement module prohibit the ability to retrieve spend data. </w:t>
      </w:r>
      <w:r w:rsidR="009A593B" w:rsidRPr="00FF633D">
        <w:rPr>
          <w:rFonts w:ascii="Times New Roman" w:hAnsi="Times New Roman" w:cs="Times New Roman"/>
          <w:sz w:val="24"/>
          <w:szCs w:val="24"/>
        </w:rPr>
        <w:t xml:space="preserve">The City must rely on vendors to provide actual usage and environmental attribute data </w:t>
      </w:r>
      <w:r w:rsidR="00F92BF6" w:rsidRPr="00FF633D">
        <w:rPr>
          <w:rFonts w:ascii="Times New Roman" w:hAnsi="Times New Roman" w:cs="Times New Roman"/>
          <w:sz w:val="24"/>
          <w:szCs w:val="24"/>
        </w:rPr>
        <w:t>for their products.</w:t>
      </w:r>
    </w:p>
    <w:p w:rsidR="009A593B" w:rsidRPr="00FF633D" w:rsidRDefault="005D596E" w:rsidP="00197A96">
      <w:pPr>
        <w:pStyle w:val="ListParagraph"/>
        <w:numPr>
          <w:ilvl w:val="0"/>
          <w:numId w:val="1"/>
        </w:numPr>
        <w:spacing w:after="120" w:line="240" w:lineRule="auto"/>
        <w:contextualSpacing w:val="0"/>
        <w:jc w:val="both"/>
        <w:rPr>
          <w:rFonts w:ascii="Times New Roman" w:hAnsi="Times New Roman" w:cs="Times New Roman"/>
          <w:sz w:val="24"/>
          <w:szCs w:val="24"/>
        </w:rPr>
      </w:pPr>
      <w:r w:rsidRPr="00FF633D">
        <w:rPr>
          <w:rFonts w:ascii="Times New Roman" w:hAnsi="Times New Roman" w:cs="Times New Roman"/>
          <w:sz w:val="24"/>
          <w:szCs w:val="24"/>
        </w:rPr>
        <w:t>Developers of environmentally preferable products are often in the early stages of identifying t</w:t>
      </w:r>
      <w:r w:rsidR="00F92BF6" w:rsidRPr="00FF633D">
        <w:rPr>
          <w:rFonts w:ascii="Times New Roman" w:hAnsi="Times New Roman" w:cs="Times New Roman"/>
          <w:sz w:val="24"/>
          <w:szCs w:val="24"/>
        </w:rPr>
        <w:t>he needs of potential customers.</w:t>
      </w:r>
    </w:p>
    <w:p w:rsidR="005D596E" w:rsidRPr="00FF633D" w:rsidRDefault="005D596E" w:rsidP="00197A96">
      <w:pPr>
        <w:pStyle w:val="ListParagraph"/>
        <w:numPr>
          <w:ilvl w:val="0"/>
          <w:numId w:val="1"/>
        </w:numPr>
        <w:spacing w:after="120" w:line="240" w:lineRule="auto"/>
        <w:contextualSpacing w:val="0"/>
        <w:jc w:val="both"/>
        <w:rPr>
          <w:rFonts w:ascii="Times New Roman" w:hAnsi="Times New Roman" w:cs="Times New Roman"/>
          <w:sz w:val="24"/>
          <w:szCs w:val="24"/>
        </w:rPr>
      </w:pPr>
      <w:r w:rsidRPr="00FF633D">
        <w:rPr>
          <w:rFonts w:ascii="Times New Roman" w:hAnsi="Times New Roman" w:cs="Times New Roman"/>
          <w:sz w:val="24"/>
          <w:szCs w:val="24"/>
        </w:rPr>
        <w:t>The lack of cost/benefits analysis and data to support green products as both operationally and financially viable will continue to be a challenge for increasing and expanding green procu</w:t>
      </w:r>
      <w:r w:rsidR="00F92BF6" w:rsidRPr="00FF633D">
        <w:rPr>
          <w:rFonts w:ascii="Times New Roman" w:hAnsi="Times New Roman" w:cs="Times New Roman"/>
          <w:sz w:val="24"/>
          <w:szCs w:val="24"/>
        </w:rPr>
        <w:t>rement within City departments.</w:t>
      </w:r>
    </w:p>
    <w:p w:rsidR="00642EAD" w:rsidRDefault="005D596E" w:rsidP="00197A96">
      <w:pPr>
        <w:pStyle w:val="ListParagraph"/>
        <w:numPr>
          <w:ilvl w:val="0"/>
          <w:numId w:val="1"/>
        </w:numPr>
        <w:spacing w:after="240"/>
        <w:contextualSpacing w:val="0"/>
        <w:jc w:val="both"/>
        <w:rPr>
          <w:rFonts w:ascii="Times New Roman" w:hAnsi="Times New Roman" w:cs="Times New Roman"/>
          <w:sz w:val="24"/>
          <w:szCs w:val="24"/>
        </w:rPr>
      </w:pPr>
      <w:r w:rsidRPr="00FF633D">
        <w:rPr>
          <w:rFonts w:ascii="Times New Roman" w:hAnsi="Times New Roman" w:cs="Times New Roman"/>
          <w:sz w:val="24"/>
          <w:szCs w:val="24"/>
        </w:rPr>
        <w:t>The lack of consensus based standards for many product categories requires the City to define their own criteria for “green” attributes, such as recycled content, energy or water conservation, and toxicity.</w:t>
      </w:r>
    </w:p>
    <w:p w:rsidR="00642EAD" w:rsidRPr="00642EAD" w:rsidRDefault="00642EAD">
      <w:pPr>
        <w:rPr>
          <w:rFonts w:ascii="Times New Roman" w:hAnsi="Times New Roman" w:cs="Times New Roman"/>
          <w:b/>
          <w:sz w:val="24"/>
          <w:szCs w:val="24"/>
        </w:rPr>
      </w:pPr>
      <w:r>
        <w:rPr>
          <w:rFonts w:ascii="Times New Roman" w:hAnsi="Times New Roman" w:cs="Times New Roman"/>
          <w:b/>
          <w:sz w:val="24"/>
          <w:szCs w:val="24"/>
        </w:rPr>
        <w:t>ENVIRONMENTAL PURCHASING OPPORTUNITIES</w:t>
      </w:r>
    </w:p>
    <w:p w:rsidR="005D596E" w:rsidRPr="00FF633D" w:rsidRDefault="00197A96" w:rsidP="00642EAD">
      <w:pPr>
        <w:pStyle w:val="ListParagraph"/>
        <w:spacing w:after="120"/>
        <w:ind w:left="0"/>
        <w:contextualSpacing w:val="0"/>
        <w:jc w:val="both"/>
        <w:rPr>
          <w:rFonts w:ascii="Times New Roman" w:hAnsi="Times New Roman" w:cs="Times New Roman"/>
          <w:sz w:val="24"/>
          <w:szCs w:val="24"/>
        </w:rPr>
      </w:pPr>
      <w:r w:rsidRPr="00FF633D">
        <w:rPr>
          <w:rFonts w:ascii="Times New Roman" w:hAnsi="Times New Roman" w:cs="Times New Roman"/>
          <w:sz w:val="24"/>
          <w:szCs w:val="24"/>
        </w:rPr>
        <w:t xml:space="preserve">The following initiatives have been implemented to support the ongoing challenge of incorporating environmental initiatives into </w:t>
      </w:r>
      <w:r w:rsidR="00F236D1" w:rsidRPr="00FF633D">
        <w:rPr>
          <w:rFonts w:ascii="Times New Roman" w:hAnsi="Times New Roman" w:cs="Times New Roman"/>
          <w:sz w:val="24"/>
          <w:szCs w:val="24"/>
        </w:rPr>
        <w:t>purchasing decisions here at the City:</w:t>
      </w:r>
    </w:p>
    <w:p w:rsidR="006C3DBA" w:rsidRPr="00FF633D" w:rsidRDefault="006C3DBA" w:rsidP="00197A96">
      <w:pPr>
        <w:pStyle w:val="ListParagraph"/>
        <w:numPr>
          <w:ilvl w:val="0"/>
          <w:numId w:val="2"/>
        </w:numPr>
        <w:spacing w:after="120" w:line="240" w:lineRule="auto"/>
        <w:ind w:left="720"/>
        <w:contextualSpacing w:val="0"/>
        <w:jc w:val="both"/>
        <w:rPr>
          <w:rFonts w:ascii="Times New Roman" w:hAnsi="Times New Roman" w:cs="Times New Roman"/>
          <w:sz w:val="24"/>
          <w:szCs w:val="24"/>
        </w:rPr>
      </w:pPr>
      <w:r w:rsidRPr="00FF633D">
        <w:rPr>
          <w:rFonts w:ascii="Times New Roman" w:hAnsi="Times New Roman" w:cs="Times New Roman"/>
          <w:sz w:val="24"/>
          <w:szCs w:val="24"/>
        </w:rPr>
        <w:t>Develop</w:t>
      </w:r>
      <w:r w:rsidR="00197A96" w:rsidRPr="00FF633D">
        <w:rPr>
          <w:rFonts w:ascii="Times New Roman" w:hAnsi="Times New Roman" w:cs="Times New Roman"/>
          <w:sz w:val="24"/>
          <w:szCs w:val="24"/>
        </w:rPr>
        <w:t xml:space="preserve">ing </w:t>
      </w:r>
      <w:r w:rsidRPr="00FF633D">
        <w:rPr>
          <w:rFonts w:ascii="Times New Roman" w:hAnsi="Times New Roman" w:cs="Times New Roman"/>
          <w:sz w:val="24"/>
          <w:szCs w:val="24"/>
        </w:rPr>
        <w:t>a Purchasing Guide for Environmental Preferable Products as a reference guide to assist employees when making purchasing decisions that are better for thei</w:t>
      </w:r>
      <w:r w:rsidR="00FF633D">
        <w:rPr>
          <w:rFonts w:ascii="Times New Roman" w:hAnsi="Times New Roman" w:cs="Times New Roman"/>
          <w:sz w:val="24"/>
          <w:szCs w:val="24"/>
        </w:rPr>
        <w:t>r employees and our environment;</w:t>
      </w:r>
    </w:p>
    <w:p w:rsidR="006C3DBA" w:rsidRDefault="006C3DBA" w:rsidP="00197A96">
      <w:pPr>
        <w:pStyle w:val="ListParagraph"/>
        <w:numPr>
          <w:ilvl w:val="0"/>
          <w:numId w:val="2"/>
        </w:numPr>
        <w:spacing w:after="120" w:line="240" w:lineRule="auto"/>
        <w:ind w:left="720"/>
        <w:contextualSpacing w:val="0"/>
        <w:jc w:val="both"/>
        <w:rPr>
          <w:rFonts w:ascii="Times New Roman" w:hAnsi="Times New Roman" w:cs="Times New Roman"/>
          <w:sz w:val="24"/>
          <w:szCs w:val="24"/>
        </w:rPr>
      </w:pPr>
      <w:r w:rsidRPr="00FF633D">
        <w:rPr>
          <w:rFonts w:ascii="Times New Roman" w:hAnsi="Times New Roman" w:cs="Times New Roman"/>
          <w:sz w:val="24"/>
          <w:szCs w:val="24"/>
        </w:rPr>
        <w:t>Sponsor</w:t>
      </w:r>
      <w:r w:rsidR="006D00F0" w:rsidRPr="00FF633D">
        <w:rPr>
          <w:rFonts w:ascii="Times New Roman" w:hAnsi="Times New Roman" w:cs="Times New Roman"/>
          <w:sz w:val="24"/>
          <w:szCs w:val="24"/>
        </w:rPr>
        <w:t>ing</w:t>
      </w:r>
      <w:r w:rsidRPr="00FF633D">
        <w:rPr>
          <w:rFonts w:ascii="Times New Roman" w:hAnsi="Times New Roman" w:cs="Times New Roman"/>
          <w:sz w:val="24"/>
          <w:szCs w:val="24"/>
        </w:rPr>
        <w:t xml:space="preserve"> “Green” vendor forums for environmental product education, demonstration and marketing opportunities</w:t>
      </w:r>
      <w:r w:rsidR="00FF633D">
        <w:rPr>
          <w:rFonts w:ascii="Times New Roman" w:hAnsi="Times New Roman" w:cs="Times New Roman"/>
          <w:sz w:val="24"/>
          <w:szCs w:val="24"/>
        </w:rPr>
        <w:t>;</w:t>
      </w:r>
    </w:p>
    <w:p w:rsidR="005D596E" w:rsidRPr="00FF633D" w:rsidRDefault="005D596E" w:rsidP="00197A96">
      <w:pPr>
        <w:pStyle w:val="ListParagraph"/>
        <w:keepNext/>
        <w:widowControl w:val="0"/>
        <w:numPr>
          <w:ilvl w:val="0"/>
          <w:numId w:val="2"/>
        </w:numPr>
        <w:spacing w:after="120" w:line="240" w:lineRule="auto"/>
        <w:ind w:left="720"/>
        <w:contextualSpacing w:val="0"/>
        <w:jc w:val="both"/>
        <w:rPr>
          <w:rFonts w:ascii="Times New Roman" w:hAnsi="Times New Roman" w:cs="Times New Roman"/>
          <w:sz w:val="24"/>
          <w:szCs w:val="24"/>
        </w:rPr>
      </w:pPr>
      <w:r w:rsidRPr="00FF633D">
        <w:rPr>
          <w:rFonts w:ascii="Times New Roman" w:hAnsi="Times New Roman" w:cs="Times New Roman"/>
          <w:sz w:val="24"/>
          <w:szCs w:val="24"/>
        </w:rPr>
        <w:lastRenderedPageBreak/>
        <w:t xml:space="preserve">Maintaining liaisons between KBU and the Environmental Purchasing Coordinators Team to facilitate </w:t>
      </w:r>
      <w:r w:rsidR="00741FFB" w:rsidRPr="00FF633D">
        <w:rPr>
          <w:rFonts w:ascii="Times New Roman" w:hAnsi="Times New Roman" w:cs="Times New Roman"/>
          <w:sz w:val="24"/>
          <w:szCs w:val="24"/>
        </w:rPr>
        <w:t>education, contracting opp</w:t>
      </w:r>
      <w:r w:rsidR="00F92BF6" w:rsidRPr="00FF633D">
        <w:rPr>
          <w:rFonts w:ascii="Times New Roman" w:hAnsi="Times New Roman" w:cs="Times New Roman"/>
          <w:sz w:val="24"/>
          <w:szCs w:val="24"/>
        </w:rPr>
        <w:t>ortunities, and data collection</w:t>
      </w:r>
      <w:r w:rsidR="00FF633D">
        <w:rPr>
          <w:rFonts w:ascii="Times New Roman" w:hAnsi="Times New Roman" w:cs="Times New Roman"/>
          <w:sz w:val="24"/>
          <w:szCs w:val="24"/>
        </w:rPr>
        <w:t>; and</w:t>
      </w:r>
    </w:p>
    <w:p w:rsidR="00197A96" w:rsidRPr="00FF633D" w:rsidRDefault="00D96047" w:rsidP="00197A96">
      <w:pPr>
        <w:pStyle w:val="ListParagraph"/>
        <w:keepNext/>
        <w:widowControl w:val="0"/>
        <w:numPr>
          <w:ilvl w:val="0"/>
          <w:numId w:val="2"/>
        </w:numPr>
        <w:spacing w:after="240" w:line="240" w:lineRule="auto"/>
        <w:ind w:left="720"/>
        <w:contextualSpacing w:val="0"/>
        <w:jc w:val="both"/>
        <w:rPr>
          <w:rFonts w:ascii="Times New Roman" w:hAnsi="Times New Roman" w:cs="Times New Roman"/>
          <w:sz w:val="24"/>
          <w:szCs w:val="24"/>
        </w:rPr>
      </w:pPr>
      <w:r w:rsidRPr="00FF633D">
        <w:rPr>
          <w:rFonts w:ascii="Times New Roman" w:hAnsi="Times New Roman" w:cs="Times New Roman"/>
          <w:sz w:val="24"/>
          <w:szCs w:val="24"/>
        </w:rPr>
        <w:t>Helping</w:t>
      </w:r>
      <w:r w:rsidR="00741FFB" w:rsidRPr="00FF633D">
        <w:rPr>
          <w:rFonts w:ascii="Times New Roman" w:hAnsi="Times New Roman" w:cs="Times New Roman"/>
          <w:sz w:val="24"/>
          <w:szCs w:val="24"/>
        </w:rPr>
        <w:t xml:space="preserve"> suppliers understand the City of Charlotte’s procurement process and </w:t>
      </w:r>
      <w:r w:rsidRPr="00FF633D">
        <w:rPr>
          <w:rFonts w:ascii="Times New Roman" w:hAnsi="Times New Roman" w:cs="Times New Roman"/>
          <w:sz w:val="24"/>
          <w:szCs w:val="24"/>
        </w:rPr>
        <w:t xml:space="preserve">environmental initiatives to </w:t>
      </w:r>
      <w:r w:rsidR="00AB60FB" w:rsidRPr="00FF633D">
        <w:rPr>
          <w:rFonts w:ascii="Times New Roman" w:hAnsi="Times New Roman" w:cs="Times New Roman"/>
          <w:sz w:val="24"/>
          <w:szCs w:val="24"/>
        </w:rPr>
        <w:t>further define and</w:t>
      </w:r>
      <w:r w:rsidRPr="00FF633D">
        <w:rPr>
          <w:rFonts w:ascii="Times New Roman" w:hAnsi="Times New Roman" w:cs="Times New Roman"/>
          <w:sz w:val="24"/>
          <w:szCs w:val="24"/>
        </w:rPr>
        <w:t xml:space="preserve"> obtain accurate environmental product attribute</w:t>
      </w:r>
      <w:r w:rsidR="00AB60FB" w:rsidRPr="00FF633D">
        <w:rPr>
          <w:rFonts w:ascii="Times New Roman" w:hAnsi="Times New Roman" w:cs="Times New Roman"/>
          <w:sz w:val="24"/>
          <w:szCs w:val="24"/>
        </w:rPr>
        <w:t>s</w:t>
      </w:r>
      <w:r w:rsidR="000E2CDC" w:rsidRPr="00FF633D">
        <w:rPr>
          <w:rFonts w:ascii="Times New Roman" w:hAnsi="Times New Roman" w:cs="Times New Roman"/>
          <w:sz w:val="24"/>
          <w:szCs w:val="24"/>
        </w:rPr>
        <w:t xml:space="preserve"> and spend data.</w:t>
      </w:r>
    </w:p>
    <w:p w:rsidR="00197A96" w:rsidRPr="00FF633D" w:rsidRDefault="00F236D1" w:rsidP="00F236D1">
      <w:pPr>
        <w:keepNext/>
        <w:widowControl w:val="0"/>
        <w:spacing w:after="240" w:line="360" w:lineRule="auto"/>
        <w:jc w:val="both"/>
        <w:rPr>
          <w:rFonts w:ascii="Times New Roman" w:hAnsi="Times New Roman" w:cs="Times New Roman"/>
          <w:b/>
          <w:sz w:val="24"/>
          <w:szCs w:val="24"/>
        </w:rPr>
      </w:pPr>
      <w:r w:rsidRPr="00FF633D">
        <w:rPr>
          <w:rFonts w:ascii="Times New Roman" w:hAnsi="Times New Roman" w:cs="Times New Roman"/>
          <w:sz w:val="24"/>
          <w:szCs w:val="24"/>
        </w:rPr>
        <w:t>Additionally, FY2011 initiatives include:</w:t>
      </w:r>
    </w:p>
    <w:p w:rsidR="00F236D1" w:rsidRPr="00FF633D" w:rsidRDefault="00197A96" w:rsidP="00197A96">
      <w:pPr>
        <w:pStyle w:val="ListParagraph"/>
        <w:numPr>
          <w:ilvl w:val="0"/>
          <w:numId w:val="2"/>
        </w:numPr>
        <w:spacing w:after="120" w:line="240" w:lineRule="auto"/>
        <w:ind w:left="720"/>
        <w:contextualSpacing w:val="0"/>
        <w:rPr>
          <w:rFonts w:ascii="Times New Roman" w:hAnsi="Times New Roman" w:cs="Times New Roman"/>
          <w:sz w:val="24"/>
          <w:szCs w:val="24"/>
        </w:rPr>
      </w:pPr>
      <w:r w:rsidRPr="00FF633D">
        <w:rPr>
          <w:rFonts w:ascii="Times New Roman" w:hAnsi="Times New Roman" w:cs="Times New Roman"/>
          <w:sz w:val="24"/>
          <w:szCs w:val="24"/>
        </w:rPr>
        <w:t xml:space="preserve">Development of an Environmentally Preferred Purchasing Policy to establish the framework for a sustainability-based purchasing program for </w:t>
      </w:r>
      <w:r w:rsidRPr="00FF633D">
        <w:rPr>
          <w:rFonts w:ascii="Times New Roman" w:hAnsi="Times New Roman" w:cs="Times New Roman"/>
          <w:color w:val="000000" w:themeColor="text1"/>
          <w:sz w:val="24"/>
          <w:szCs w:val="24"/>
        </w:rPr>
        <w:t>the City</w:t>
      </w:r>
      <w:r w:rsidR="00F236D1" w:rsidRPr="00FF633D">
        <w:rPr>
          <w:rFonts w:ascii="Times New Roman" w:hAnsi="Times New Roman" w:cs="Times New Roman"/>
          <w:color w:val="000000" w:themeColor="text1"/>
          <w:sz w:val="24"/>
          <w:szCs w:val="24"/>
        </w:rPr>
        <w:t>;</w:t>
      </w:r>
    </w:p>
    <w:p w:rsidR="00197A96" w:rsidRPr="00FF633D" w:rsidRDefault="00F236D1" w:rsidP="00197A96">
      <w:pPr>
        <w:pStyle w:val="ListParagraph"/>
        <w:numPr>
          <w:ilvl w:val="0"/>
          <w:numId w:val="2"/>
        </w:numPr>
        <w:spacing w:after="120" w:line="240" w:lineRule="auto"/>
        <w:ind w:left="720"/>
        <w:contextualSpacing w:val="0"/>
        <w:rPr>
          <w:rFonts w:ascii="Times New Roman" w:hAnsi="Times New Roman" w:cs="Times New Roman"/>
          <w:sz w:val="24"/>
          <w:szCs w:val="24"/>
        </w:rPr>
      </w:pPr>
      <w:r w:rsidRPr="00FF633D">
        <w:rPr>
          <w:rFonts w:ascii="Times New Roman" w:hAnsi="Times New Roman" w:cs="Times New Roman"/>
          <w:color w:val="000000" w:themeColor="text1"/>
          <w:sz w:val="24"/>
          <w:szCs w:val="24"/>
        </w:rPr>
        <w:t xml:space="preserve">Increased promotion of </w:t>
      </w:r>
      <w:r w:rsidR="00197A96" w:rsidRPr="00FF633D">
        <w:rPr>
          <w:rFonts w:ascii="Times New Roman" w:hAnsi="Times New Roman" w:cs="Times New Roman"/>
          <w:sz w:val="24"/>
          <w:szCs w:val="24"/>
        </w:rPr>
        <w:t>the purchase of environmentally friendly products whose quality, function, and cost are equal or superior to more traditional products</w:t>
      </w:r>
      <w:r w:rsidRPr="00FF633D">
        <w:rPr>
          <w:rFonts w:ascii="Times New Roman" w:hAnsi="Times New Roman" w:cs="Times New Roman"/>
          <w:sz w:val="24"/>
          <w:szCs w:val="24"/>
        </w:rPr>
        <w:t>; and</w:t>
      </w:r>
    </w:p>
    <w:p w:rsidR="00197A96" w:rsidRPr="00642EAD" w:rsidRDefault="00F236D1" w:rsidP="00642EAD">
      <w:pPr>
        <w:pStyle w:val="ListParagraph"/>
        <w:numPr>
          <w:ilvl w:val="0"/>
          <w:numId w:val="2"/>
        </w:numPr>
        <w:spacing w:after="720" w:line="240" w:lineRule="auto"/>
        <w:ind w:left="720"/>
        <w:contextualSpacing w:val="0"/>
        <w:jc w:val="both"/>
        <w:rPr>
          <w:rFonts w:ascii="Times New Roman" w:hAnsi="Times New Roman" w:cs="Times New Roman"/>
          <w:sz w:val="24"/>
          <w:szCs w:val="24"/>
        </w:rPr>
      </w:pPr>
      <w:r w:rsidRPr="00FF633D">
        <w:rPr>
          <w:rFonts w:ascii="Times New Roman" w:hAnsi="Times New Roman" w:cs="Times New Roman"/>
          <w:color w:val="000000" w:themeColor="text1"/>
          <w:sz w:val="24"/>
          <w:szCs w:val="24"/>
        </w:rPr>
        <w:t xml:space="preserve">The use of funding and interns as provided for through the Student Energy Internship and Fellowship Program to </w:t>
      </w:r>
      <w:r w:rsidR="00197A96" w:rsidRPr="00FF633D">
        <w:rPr>
          <w:rFonts w:ascii="Times New Roman" w:hAnsi="Times New Roman" w:cs="Times New Roman"/>
          <w:color w:val="000000" w:themeColor="text1"/>
          <w:sz w:val="24"/>
          <w:szCs w:val="24"/>
        </w:rPr>
        <w:t xml:space="preserve">assist with </w:t>
      </w:r>
      <w:r w:rsidRPr="00FF633D">
        <w:rPr>
          <w:rFonts w:ascii="Times New Roman" w:hAnsi="Times New Roman" w:cs="Times New Roman"/>
          <w:color w:val="000000" w:themeColor="text1"/>
          <w:sz w:val="24"/>
          <w:szCs w:val="24"/>
        </w:rPr>
        <w:t xml:space="preserve">the development and implementation of the Environmental Purchasing Policy, the implementation of environmental reporting initiatives through </w:t>
      </w:r>
      <w:r w:rsidR="00197A96" w:rsidRPr="00FF633D">
        <w:rPr>
          <w:rFonts w:ascii="Times New Roman" w:hAnsi="Times New Roman" w:cs="Times New Roman"/>
          <w:color w:val="000000" w:themeColor="text1"/>
          <w:sz w:val="24"/>
          <w:szCs w:val="24"/>
        </w:rPr>
        <w:t>the design and implementation of a data collection system for tracking environmental attributes of products and evaluation of vendor reports</w:t>
      </w:r>
      <w:r w:rsidRPr="00FF633D">
        <w:rPr>
          <w:rFonts w:ascii="Times New Roman" w:hAnsi="Times New Roman" w:cs="Times New Roman"/>
          <w:color w:val="000000" w:themeColor="text1"/>
          <w:sz w:val="24"/>
          <w:szCs w:val="24"/>
        </w:rPr>
        <w:t>, and working with ven</w:t>
      </w:r>
      <w:r w:rsidR="00FF633D" w:rsidRPr="00FF633D">
        <w:rPr>
          <w:rFonts w:ascii="Times New Roman" w:hAnsi="Times New Roman" w:cs="Times New Roman"/>
          <w:color w:val="000000" w:themeColor="text1"/>
          <w:sz w:val="24"/>
          <w:szCs w:val="24"/>
        </w:rPr>
        <w:t>dors in the design, development,</w:t>
      </w:r>
      <w:r w:rsidRPr="00FF633D">
        <w:rPr>
          <w:rFonts w:ascii="Times New Roman" w:hAnsi="Times New Roman" w:cs="Times New Roman"/>
          <w:color w:val="000000" w:themeColor="text1"/>
          <w:sz w:val="24"/>
          <w:szCs w:val="24"/>
        </w:rPr>
        <w:t xml:space="preserve"> implementation</w:t>
      </w:r>
      <w:r w:rsidR="00FF633D" w:rsidRPr="00FF633D">
        <w:rPr>
          <w:rFonts w:ascii="Times New Roman" w:hAnsi="Times New Roman" w:cs="Times New Roman"/>
          <w:color w:val="000000" w:themeColor="text1"/>
          <w:sz w:val="24"/>
          <w:szCs w:val="24"/>
        </w:rPr>
        <w:t xml:space="preserve">, and marketing </w:t>
      </w:r>
      <w:r w:rsidRPr="00FF633D">
        <w:rPr>
          <w:rFonts w:ascii="Times New Roman" w:hAnsi="Times New Roman" w:cs="Times New Roman"/>
          <w:color w:val="000000" w:themeColor="text1"/>
          <w:sz w:val="24"/>
          <w:szCs w:val="24"/>
        </w:rPr>
        <w:t>of Environmental Purchasing Pick Lists for On-lin</w:t>
      </w:r>
      <w:r w:rsidR="00FF633D" w:rsidRPr="00FF633D">
        <w:rPr>
          <w:rFonts w:ascii="Times New Roman" w:hAnsi="Times New Roman" w:cs="Times New Roman"/>
          <w:color w:val="000000" w:themeColor="text1"/>
          <w:sz w:val="24"/>
          <w:szCs w:val="24"/>
        </w:rPr>
        <w:t>e Ordering Catalogs.</w:t>
      </w:r>
    </w:p>
    <w:p w:rsidR="00642EAD" w:rsidRPr="00642EAD" w:rsidRDefault="00642EAD" w:rsidP="00642EAD">
      <w:pPr>
        <w:spacing w:after="60" w:line="240" w:lineRule="auto"/>
        <w:jc w:val="center"/>
        <w:rPr>
          <w:rFonts w:ascii="Times New Roman" w:hAnsi="Times New Roman" w:cs="Times New Roman"/>
          <w:sz w:val="24"/>
          <w:szCs w:val="24"/>
        </w:rPr>
      </w:pPr>
      <w:r w:rsidRPr="00642EAD">
        <w:rPr>
          <w:rFonts w:ascii="Times New Roman" w:hAnsi="Times New Roman" w:cs="Times New Roman"/>
          <w:noProof/>
          <w:sz w:val="24"/>
          <w:szCs w:val="24"/>
        </w:rPr>
        <w:drawing>
          <wp:inline distT="0" distB="0" distL="0" distR="0">
            <wp:extent cx="1914525" cy="1238250"/>
            <wp:effectExtent l="19050" t="0" r="9525" b="0"/>
            <wp:docPr id="7" name="Picture 16" descr="Green purchas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purchasing.jpg"/>
                    <pic:cNvPicPr/>
                  </pic:nvPicPr>
                  <pic:blipFill>
                    <a:blip r:embed="rId18"/>
                    <a:stretch>
                      <a:fillRect/>
                    </a:stretch>
                  </pic:blipFill>
                  <pic:spPr>
                    <a:xfrm>
                      <a:off x="0" y="0"/>
                      <a:ext cx="1914525" cy="1238250"/>
                    </a:xfrm>
                    <a:prstGeom prst="rect">
                      <a:avLst/>
                    </a:prstGeom>
                  </pic:spPr>
                </pic:pic>
              </a:graphicData>
            </a:graphic>
          </wp:inline>
        </w:drawing>
      </w:r>
    </w:p>
    <w:sectPr w:rsidR="00642EAD" w:rsidRPr="00642EAD" w:rsidSect="00742F22">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2A7" w:rsidRDefault="002322A7" w:rsidP="004814BD">
      <w:pPr>
        <w:spacing w:after="0" w:line="240" w:lineRule="auto"/>
      </w:pPr>
      <w:r>
        <w:separator/>
      </w:r>
    </w:p>
  </w:endnote>
  <w:endnote w:type="continuationSeparator" w:id="0">
    <w:p w:rsidR="002322A7" w:rsidRDefault="002322A7" w:rsidP="004814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A7" w:rsidRDefault="002322A7">
    <w:pPr>
      <w:pStyle w:val="Footer"/>
      <w:jc w:val="right"/>
    </w:pPr>
  </w:p>
  <w:p w:rsidR="002322A7" w:rsidRDefault="002322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2A7" w:rsidRDefault="002322A7" w:rsidP="00FF633D">
    <w:pPr>
      <w:pStyle w:val="Footer"/>
      <w:tabs>
        <w:tab w:val="clear" w:pos="4680"/>
        <w:tab w:val="center" w:pos="5760"/>
      </w:tabs>
      <w:jc w:val="right"/>
    </w:pPr>
    <w:r w:rsidRPr="00FF633D">
      <w:rPr>
        <w:noProof/>
      </w:rPr>
      <w:drawing>
        <wp:inline distT="0" distB="0" distL="0" distR="0">
          <wp:extent cx="1325880" cy="771525"/>
          <wp:effectExtent l="19050" t="0" r="7620" b="0"/>
          <wp:docPr id="5" name="Picture 11" descr="recycle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ycle_symbol.jpg"/>
                  <pic:cNvPicPr/>
                </pic:nvPicPr>
                <pic:blipFill>
                  <a:blip r:embed="rId1" cstate="print"/>
                  <a:stretch>
                    <a:fillRect/>
                  </a:stretch>
                </pic:blipFill>
                <pic:spPr>
                  <a:xfrm>
                    <a:off x="0" y="0"/>
                    <a:ext cx="1325880" cy="771525"/>
                  </a:xfrm>
                  <a:prstGeom prst="rect">
                    <a:avLst/>
                  </a:prstGeom>
                </pic:spPr>
              </pic:pic>
            </a:graphicData>
          </a:graphic>
        </wp:inline>
      </w:drawing>
    </w:r>
    <w:r>
      <w:tab/>
    </w:r>
    <w:sdt>
      <w:sdtPr>
        <w:id w:val="144670854"/>
        <w:docPartObj>
          <w:docPartGallery w:val="Page Numbers (Bottom of Page)"/>
          <w:docPartUnique/>
        </w:docPartObj>
      </w:sdtPr>
      <w:sdtContent>
        <w:fldSimple w:instr=" PAGE   \* MERGEFORMAT ">
          <w:r w:rsidR="00D9338E">
            <w:rPr>
              <w:noProof/>
            </w:rPr>
            <w:t>6</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2A7" w:rsidRDefault="002322A7" w:rsidP="004814BD">
      <w:pPr>
        <w:spacing w:after="0" w:line="240" w:lineRule="auto"/>
      </w:pPr>
      <w:r>
        <w:separator/>
      </w:r>
    </w:p>
  </w:footnote>
  <w:footnote w:type="continuationSeparator" w:id="0">
    <w:p w:rsidR="002322A7" w:rsidRDefault="002322A7" w:rsidP="004814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01E17"/>
    <w:multiLevelType w:val="hybridMultilevel"/>
    <w:tmpl w:val="42B46A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68B7BDD"/>
    <w:multiLevelType w:val="hybridMultilevel"/>
    <w:tmpl w:val="5F8CE0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792F62C3"/>
    <w:multiLevelType w:val="hybridMultilevel"/>
    <w:tmpl w:val="93D6FC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4954E5"/>
    <w:multiLevelType w:val="hybridMultilevel"/>
    <w:tmpl w:val="3768F75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7F4D0699"/>
    <w:multiLevelType w:val="hybridMultilevel"/>
    <w:tmpl w:val="AB6E4D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468F5"/>
    <w:rsid w:val="00036288"/>
    <w:rsid w:val="0004290A"/>
    <w:rsid w:val="000435E4"/>
    <w:rsid w:val="000660AB"/>
    <w:rsid w:val="000C3577"/>
    <w:rsid w:val="000D1094"/>
    <w:rsid w:val="000E2CDC"/>
    <w:rsid w:val="000E666A"/>
    <w:rsid w:val="000E7918"/>
    <w:rsid w:val="000F17D0"/>
    <w:rsid w:val="000F7A74"/>
    <w:rsid w:val="00115592"/>
    <w:rsid w:val="00155FF8"/>
    <w:rsid w:val="00164661"/>
    <w:rsid w:val="00192F15"/>
    <w:rsid w:val="00197A96"/>
    <w:rsid w:val="001A3ABF"/>
    <w:rsid w:val="001A5A53"/>
    <w:rsid w:val="001B61CC"/>
    <w:rsid w:val="001D0D30"/>
    <w:rsid w:val="001D2D21"/>
    <w:rsid w:val="001D4BF7"/>
    <w:rsid w:val="001F38D8"/>
    <w:rsid w:val="00214EA3"/>
    <w:rsid w:val="00225428"/>
    <w:rsid w:val="00231CCF"/>
    <w:rsid w:val="002322A7"/>
    <w:rsid w:val="00244F5E"/>
    <w:rsid w:val="0027522C"/>
    <w:rsid w:val="00284DB5"/>
    <w:rsid w:val="00287A0C"/>
    <w:rsid w:val="00293AD0"/>
    <w:rsid w:val="002A1436"/>
    <w:rsid w:val="002B3D7B"/>
    <w:rsid w:val="002E2190"/>
    <w:rsid w:val="002E3D16"/>
    <w:rsid w:val="002E7E74"/>
    <w:rsid w:val="002F01AD"/>
    <w:rsid w:val="002F79F2"/>
    <w:rsid w:val="00374FD0"/>
    <w:rsid w:val="003A6736"/>
    <w:rsid w:val="003B22BA"/>
    <w:rsid w:val="003D72E9"/>
    <w:rsid w:val="004300AA"/>
    <w:rsid w:val="00440A46"/>
    <w:rsid w:val="00460589"/>
    <w:rsid w:val="004814BD"/>
    <w:rsid w:val="00482EAA"/>
    <w:rsid w:val="00486FB5"/>
    <w:rsid w:val="004910F3"/>
    <w:rsid w:val="00491B22"/>
    <w:rsid w:val="00494632"/>
    <w:rsid w:val="00497349"/>
    <w:rsid w:val="004C2A22"/>
    <w:rsid w:val="004C7DCE"/>
    <w:rsid w:val="004D197D"/>
    <w:rsid w:val="004F7B0A"/>
    <w:rsid w:val="00537B7C"/>
    <w:rsid w:val="0054777F"/>
    <w:rsid w:val="00577420"/>
    <w:rsid w:val="00577F58"/>
    <w:rsid w:val="00580FC5"/>
    <w:rsid w:val="00591B51"/>
    <w:rsid w:val="005C0A36"/>
    <w:rsid w:val="005D15EC"/>
    <w:rsid w:val="005D596E"/>
    <w:rsid w:val="005E3E63"/>
    <w:rsid w:val="005F7D11"/>
    <w:rsid w:val="00607EDB"/>
    <w:rsid w:val="00632345"/>
    <w:rsid w:val="00642EAD"/>
    <w:rsid w:val="00645784"/>
    <w:rsid w:val="00652EEC"/>
    <w:rsid w:val="00667A30"/>
    <w:rsid w:val="00667FCE"/>
    <w:rsid w:val="00676E22"/>
    <w:rsid w:val="006915D8"/>
    <w:rsid w:val="00692C96"/>
    <w:rsid w:val="00696DF5"/>
    <w:rsid w:val="006A6FC5"/>
    <w:rsid w:val="006C21B9"/>
    <w:rsid w:val="006C3DBA"/>
    <w:rsid w:val="006D00F0"/>
    <w:rsid w:val="006D31AA"/>
    <w:rsid w:val="006D5312"/>
    <w:rsid w:val="007033C8"/>
    <w:rsid w:val="00723079"/>
    <w:rsid w:val="00724296"/>
    <w:rsid w:val="007249DF"/>
    <w:rsid w:val="00741FFB"/>
    <w:rsid w:val="00742F22"/>
    <w:rsid w:val="00744980"/>
    <w:rsid w:val="007465F8"/>
    <w:rsid w:val="00752AFE"/>
    <w:rsid w:val="00754BEE"/>
    <w:rsid w:val="007721CB"/>
    <w:rsid w:val="00792204"/>
    <w:rsid w:val="00797574"/>
    <w:rsid w:val="007A45CA"/>
    <w:rsid w:val="007B48F2"/>
    <w:rsid w:val="007C30F8"/>
    <w:rsid w:val="007C498B"/>
    <w:rsid w:val="007E0F45"/>
    <w:rsid w:val="007E2066"/>
    <w:rsid w:val="007F2E8A"/>
    <w:rsid w:val="00811021"/>
    <w:rsid w:val="00813277"/>
    <w:rsid w:val="00837302"/>
    <w:rsid w:val="00842EBC"/>
    <w:rsid w:val="008515CD"/>
    <w:rsid w:val="0086300E"/>
    <w:rsid w:val="00864AB6"/>
    <w:rsid w:val="00896885"/>
    <w:rsid w:val="008A46F1"/>
    <w:rsid w:val="008A537D"/>
    <w:rsid w:val="008A6DB2"/>
    <w:rsid w:val="008C2DFC"/>
    <w:rsid w:val="008C36E1"/>
    <w:rsid w:val="008E7861"/>
    <w:rsid w:val="008F128A"/>
    <w:rsid w:val="008F67AC"/>
    <w:rsid w:val="00902347"/>
    <w:rsid w:val="009457E4"/>
    <w:rsid w:val="00954497"/>
    <w:rsid w:val="00966FD9"/>
    <w:rsid w:val="009A593B"/>
    <w:rsid w:val="00A17C69"/>
    <w:rsid w:val="00A24E60"/>
    <w:rsid w:val="00A25D78"/>
    <w:rsid w:val="00A51A62"/>
    <w:rsid w:val="00A70A97"/>
    <w:rsid w:val="00A80EAB"/>
    <w:rsid w:val="00A85B65"/>
    <w:rsid w:val="00AB60FB"/>
    <w:rsid w:val="00AD1031"/>
    <w:rsid w:val="00AD1BC8"/>
    <w:rsid w:val="00AE0ABF"/>
    <w:rsid w:val="00AE36CA"/>
    <w:rsid w:val="00AF2FEF"/>
    <w:rsid w:val="00B176B4"/>
    <w:rsid w:val="00B234B1"/>
    <w:rsid w:val="00B26143"/>
    <w:rsid w:val="00B661BA"/>
    <w:rsid w:val="00B67078"/>
    <w:rsid w:val="00B67A79"/>
    <w:rsid w:val="00BA43CB"/>
    <w:rsid w:val="00BF3733"/>
    <w:rsid w:val="00C15F5E"/>
    <w:rsid w:val="00C20699"/>
    <w:rsid w:val="00C22A96"/>
    <w:rsid w:val="00C52FC8"/>
    <w:rsid w:val="00C62079"/>
    <w:rsid w:val="00C81171"/>
    <w:rsid w:val="00CA2D51"/>
    <w:rsid w:val="00CA4C8B"/>
    <w:rsid w:val="00CA5565"/>
    <w:rsid w:val="00CC5F3D"/>
    <w:rsid w:val="00CF0ED8"/>
    <w:rsid w:val="00CF197E"/>
    <w:rsid w:val="00CF61E6"/>
    <w:rsid w:val="00D01728"/>
    <w:rsid w:val="00D468F5"/>
    <w:rsid w:val="00D526C7"/>
    <w:rsid w:val="00D61FC0"/>
    <w:rsid w:val="00D64036"/>
    <w:rsid w:val="00D66C63"/>
    <w:rsid w:val="00D81929"/>
    <w:rsid w:val="00D9338E"/>
    <w:rsid w:val="00D96047"/>
    <w:rsid w:val="00DA1AC7"/>
    <w:rsid w:val="00DB721C"/>
    <w:rsid w:val="00E01F28"/>
    <w:rsid w:val="00E11126"/>
    <w:rsid w:val="00E51250"/>
    <w:rsid w:val="00E55F1B"/>
    <w:rsid w:val="00E63808"/>
    <w:rsid w:val="00E70A83"/>
    <w:rsid w:val="00E70ABD"/>
    <w:rsid w:val="00E9292D"/>
    <w:rsid w:val="00EA35F2"/>
    <w:rsid w:val="00F236D1"/>
    <w:rsid w:val="00F239AC"/>
    <w:rsid w:val="00F35DF1"/>
    <w:rsid w:val="00F430D1"/>
    <w:rsid w:val="00F66EDC"/>
    <w:rsid w:val="00F92BF6"/>
    <w:rsid w:val="00FD3215"/>
    <w:rsid w:val="00FF6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F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6F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67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FCE"/>
    <w:rPr>
      <w:rFonts w:ascii="Tahoma" w:hAnsi="Tahoma" w:cs="Tahoma"/>
      <w:sz w:val="16"/>
      <w:szCs w:val="16"/>
    </w:rPr>
  </w:style>
  <w:style w:type="paragraph" w:styleId="ListParagraph">
    <w:name w:val="List Paragraph"/>
    <w:basedOn w:val="Normal"/>
    <w:uiPriority w:val="34"/>
    <w:qFormat/>
    <w:rsid w:val="009A593B"/>
    <w:pPr>
      <w:ind w:left="720"/>
      <w:contextualSpacing/>
    </w:pPr>
  </w:style>
  <w:style w:type="paragraph" w:styleId="Header">
    <w:name w:val="header"/>
    <w:basedOn w:val="Normal"/>
    <w:link w:val="HeaderChar"/>
    <w:uiPriority w:val="99"/>
    <w:semiHidden/>
    <w:unhideWhenUsed/>
    <w:rsid w:val="004814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14BD"/>
  </w:style>
  <w:style w:type="paragraph" w:styleId="Footer">
    <w:name w:val="footer"/>
    <w:basedOn w:val="Normal"/>
    <w:link w:val="FooterChar"/>
    <w:uiPriority w:val="99"/>
    <w:unhideWhenUsed/>
    <w:rsid w:val="004814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4BD"/>
  </w:style>
</w:styles>
</file>

<file path=word/webSettings.xml><?xml version="1.0" encoding="utf-8"?>
<w:webSettings xmlns:r="http://schemas.openxmlformats.org/officeDocument/2006/relationships" xmlns:w="http://schemas.openxmlformats.org/wordprocessingml/2006/main">
  <w:divs>
    <w:div w:id="220606460">
      <w:bodyDiv w:val="1"/>
      <w:marLeft w:val="0"/>
      <w:marRight w:val="0"/>
      <w:marTop w:val="0"/>
      <w:marBottom w:val="0"/>
      <w:divBdr>
        <w:top w:val="none" w:sz="0" w:space="0" w:color="auto"/>
        <w:left w:val="none" w:sz="0" w:space="0" w:color="auto"/>
        <w:bottom w:val="none" w:sz="0" w:space="0" w:color="auto"/>
        <w:right w:val="none" w:sz="0" w:space="0" w:color="auto"/>
      </w:divBdr>
    </w:div>
    <w:div w:id="172047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oleObject" Target="file:///\\myrs-file-001\delzey$\Projects\Environment%20Team\Green%20Qrtly%20Reports\FY2010%20Green%20Reports\Final%20Green%20Report%20201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myrs-file-001\delzey$\Projects\Environment%20Team\Green%20Qrtly%20Reports\FY2010%20Green%20Reports\Final%20Green%20Report%20201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myrs-file-001\delzey$\Projects\Environment%20Team\Green%20Qrtly%20Reports\FY2010%20Green%20Reports\Final%20Green%20Report%20201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myrs-file-001\delzey$\Projects\Environment%20Team\Green%20Qrtly%20Reports\FY2010%20Green%20Reports\Final%20Green%20Report%20201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myrs-file-001\delzey$\Projects\Environment%20Team\Green%20Qrtly%20Reports\FY2010%20Green%20Reports\Final%20Green%20Report%20201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myrs-file-001\delzey$\Projects\Environment%20Team\Green%20Qrtly%20Reports\FY2010%20Green%20Reports\Final%20Green%20Report%20201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myrs-file-001\delzey$\Projects\Environment%20Team\Green%20Qrtly%20Reports\FY2010%20Green%20Reports\Final%20Green%20Report%2020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5"/>
  <c:chart>
    <c:title>
      <c:tx>
        <c:rich>
          <a:bodyPr/>
          <a:lstStyle/>
          <a:p>
            <a:pPr>
              <a:defRPr/>
            </a:pPr>
            <a:r>
              <a:rPr lang="en-US"/>
              <a:t>Toner/Ink Cartridges FY10</a:t>
            </a:r>
          </a:p>
          <a:p>
            <a:pPr>
              <a:defRPr/>
            </a:pPr>
            <a:r>
              <a:rPr lang="en-US" sz="1000"/>
              <a:t>Green (Remanufactured)</a:t>
            </a:r>
            <a:r>
              <a:rPr lang="en-US" sz="1000" baseline="0"/>
              <a:t> $80,438.57</a:t>
            </a:r>
          </a:p>
          <a:p>
            <a:pPr>
              <a:defRPr/>
            </a:pPr>
            <a:r>
              <a:rPr lang="en-US" sz="1000" baseline="0"/>
              <a:t>Non-Green (OEM) $77,249.18</a:t>
            </a:r>
          </a:p>
          <a:p>
            <a:pPr>
              <a:defRPr/>
            </a:pPr>
            <a:r>
              <a:rPr lang="en-US" sz="1000" baseline="0"/>
              <a:t>Total $157,687.75</a:t>
            </a:r>
            <a:endParaRPr lang="en-US" sz="1000"/>
          </a:p>
          <a:p>
            <a:pPr>
              <a:defRPr/>
            </a:pPr>
            <a:endParaRPr lang="en-US" sz="1000"/>
          </a:p>
        </c:rich>
      </c:tx>
      <c:layout/>
    </c:title>
    <c:view3D>
      <c:rotX val="50"/>
      <c:perspective val="150"/>
    </c:view3D>
    <c:plotArea>
      <c:layout/>
      <c:pie3DChart>
        <c:varyColors val="1"/>
        <c:ser>
          <c:idx val="0"/>
          <c:order val="0"/>
          <c:explosion val="21"/>
          <c:dLbls>
            <c:dLbl>
              <c:idx val="0"/>
              <c:layout/>
              <c:tx>
                <c:rich>
                  <a:bodyPr/>
                  <a:lstStyle/>
                  <a:p>
                    <a:r>
                      <a:rPr lang="en-US"/>
                      <a:t>Green
51%</a:t>
                    </a:r>
                  </a:p>
                </c:rich>
              </c:tx>
              <c:showCatName val="1"/>
              <c:showPercent val="1"/>
            </c:dLbl>
            <c:dLbl>
              <c:idx val="1"/>
              <c:layout/>
              <c:tx>
                <c:rich>
                  <a:bodyPr/>
                  <a:lstStyle/>
                  <a:p>
                    <a:r>
                      <a:rPr lang="en-US"/>
                      <a:t>Non-Green
49%</a:t>
                    </a:r>
                  </a:p>
                </c:rich>
              </c:tx>
              <c:showCatName val="1"/>
              <c:showPercent val="1"/>
            </c:dLbl>
            <c:showCatName val="1"/>
            <c:showPercent val="1"/>
            <c:showLeaderLines val="1"/>
          </c:dLbls>
          <c:val>
            <c:numRef>
              <c:f>'Toner-Ink Cart Combined'!$B$4:$C$4</c:f>
              <c:numCache>
                <c:formatCode>"$"#,##0.00_);\("$"#,##0.00\)</c:formatCode>
                <c:ptCount val="2"/>
                <c:pt idx="0" formatCode="_(&quot;$&quot;* #,##0.00_);_(&quot;$&quot;* \(#,##0.00\);_(&quot;$&quot;* &quot;-&quot;??_);_(@_)">
                  <c:v>80438.569999999992</c:v>
                </c:pt>
                <c:pt idx="1">
                  <c:v>77249.180000000022</c:v>
                </c:pt>
              </c:numCache>
            </c:numRef>
          </c:val>
        </c:ser>
        <c:dLbls>
          <c:showCatName val="1"/>
          <c:showPercent val="1"/>
        </c:dLbls>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5"/>
  <c:chart>
    <c:title>
      <c:tx>
        <c:rich>
          <a:bodyPr/>
          <a:lstStyle/>
          <a:p>
            <a:pPr>
              <a:defRPr/>
            </a:pPr>
            <a:r>
              <a:rPr lang="en-US"/>
              <a:t>Office Depot FY10</a:t>
            </a:r>
          </a:p>
          <a:p>
            <a:pPr>
              <a:defRPr/>
            </a:pPr>
            <a:r>
              <a:rPr lang="en-US" sz="1000"/>
              <a:t>(Office Supplies)</a:t>
            </a:r>
          </a:p>
          <a:p>
            <a:pPr>
              <a:defRPr/>
            </a:pPr>
            <a:r>
              <a:rPr lang="en-US" sz="1000"/>
              <a:t>Green $215,030.13</a:t>
            </a:r>
          </a:p>
          <a:p>
            <a:pPr>
              <a:defRPr/>
            </a:pPr>
            <a:r>
              <a:rPr lang="en-US" sz="1000"/>
              <a:t>Non-Green $337,940.65</a:t>
            </a:r>
          </a:p>
          <a:p>
            <a:pPr>
              <a:defRPr/>
            </a:pPr>
            <a:r>
              <a:rPr lang="en-US" sz="1000"/>
              <a:t>Total $552,970.78</a:t>
            </a:r>
          </a:p>
        </c:rich>
      </c:tx>
      <c:layout/>
    </c:title>
    <c:view3D>
      <c:rotX val="30"/>
      <c:perspective val="30"/>
    </c:view3D>
    <c:plotArea>
      <c:layout/>
      <c:pie3DChart>
        <c:varyColors val="1"/>
        <c:ser>
          <c:idx val="0"/>
          <c:order val="0"/>
          <c:explosion val="25"/>
          <c:dLbls>
            <c:showCatName val="1"/>
            <c:showPercent val="1"/>
          </c:dLbls>
          <c:cat>
            <c:strRef>
              <c:f>'Office Depot'!$A$1:$B$1</c:f>
              <c:strCache>
                <c:ptCount val="2"/>
                <c:pt idx="0">
                  <c:v>Green</c:v>
                </c:pt>
                <c:pt idx="1">
                  <c:v>Non-Green</c:v>
                </c:pt>
              </c:strCache>
            </c:strRef>
          </c:cat>
          <c:val>
            <c:numRef>
              <c:f>'Office Depot'!$A$2:$B$2</c:f>
              <c:numCache>
                <c:formatCode>"$"#,##0.00_);\("$"#,##0.00\)</c:formatCode>
                <c:ptCount val="2"/>
                <c:pt idx="0">
                  <c:v>215030.13</c:v>
                </c:pt>
                <c:pt idx="1">
                  <c:v>337940.64999999158</c:v>
                </c:pt>
              </c:numCache>
            </c:numRef>
          </c:val>
        </c:ser>
        <c:dLbls>
          <c:showCatName val="1"/>
          <c:showPercent val="1"/>
        </c:dLbls>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5"/>
  <c:chart>
    <c:title>
      <c:tx>
        <c:rich>
          <a:bodyPr/>
          <a:lstStyle/>
          <a:p>
            <a:pPr>
              <a:defRPr/>
            </a:pPr>
            <a:r>
              <a:rPr lang="en-US"/>
              <a:t>Copy Paper FY10</a:t>
            </a:r>
          </a:p>
          <a:p>
            <a:pPr>
              <a:defRPr/>
            </a:pPr>
            <a:r>
              <a:rPr lang="en-US" sz="1000"/>
              <a:t>(Purchased by KBU)</a:t>
            </a:r>
          </a:p>
          <a:p>
            <a:pPr>
              <a:defRPr/>
            </a:pPr>
            <a:r>
              <a:rPr lang="en-US" sz="1000"/>
              <a:t>30%-Recycled Content  411 cases =</a:t>
            </a:r>
            <a:r>
              <a:rPr lang="en-US" sz="1000" baseline="0"/>
              <a:t> $4,944</a:t>
            </a:r>
          </a:p>
          <a:p>
            <a:pPr>
              <a:defRPr/>
            </a:pPr>
            <a:r>
              <a:rPr lang="en-US" sz="1000" baseline="0"/>
              <a:t>Virgin 1848 cases = $30,400</a:t>
            </a:r>
          </a:p>
          <a:p>
            <a:pPr>
              <a:defRPr/>
            </a:pPr>
            <a:r>
              <a:rPr lang="en-US" sz="1000" baseline="0"/>
              <a:t>Total 2259 cases = $35,254</a:t>
            </a:r>
            <a:endParaRPr lang="en-US" sz="1000"/>
          </a:p>
          <a:p>
            <a:pPr>
              <a:defRPr/>
            </a:pPr>
            <a:endParaRPr lang="en-US" sz="1000"/>
          </a:p>
        </c:rich>
      </c:tx>
      <c:layout/>
    </c:title>
    <c:view3D>
      <c:rotX val="30"/>
      <c:rotY val="30"/>
      <c:perspective val="30"/>
    </c:view3D>
    <c:plotArea>
      <c:layout/>
      <c:pie3DChart>
        <c:varyColors val="1"/>
        <c:ser>
          <c:idx val="0"/>
          <c:order val="0"/>
          <c:explosion val="25"/>
          <c:dLbls>
            <c:dLbl>
              <c:idx val="0"/>
              <c:layout/>
              <c:tx>
                <c:rich>
                  <a:bodyPr/>
                  <a:lstStyle/>
                  <a:p>
                    <a:r>
                      <a:rPr lang="en-US"/>
                      <a:t>30%-Recycled Content
18%</a:t>
                    </a:r>
                  </a:p>
                </c:rich>
              </c:tx>
              <c:showCatName val="1"/>
              <c:showPercent val="1"/>
            </c:dLbl>
            <c:dLbl>
              <c:idx val="1"/>
              <c:layout/>
              <c:tx>
                <c:rich>
                  <a:bodyPr/>
                  <a:lstStyle/>
                  <a:p>
                    <a:r>
                      <a:rPr lang="en-US"/>
                      <a:t>Virgin
82%</a:t>
                    </a:r>
                  </a:p>
                </c:rich>
              </c:tx>
              <c:showCatName val="1"/>
              <c:showPercent val="1"/>
            </c:dLbl>
            <c:showCatName val="1"/>
            <c:showPercent val="1"/>
            <c:showLeaderLines val="1"/>
          </c:dLbls>
          <c:val>
            <c:numRef>
              <c:f>'Copy Paper'!$B$2:$C$2</c:f>
              <c:numCache>
                <c:formatCode>General</c:formatCode>
                <c:ptCount val="2"/>
                <c:pt idx="0">
                  <c:v>411</c:v>
                </c:pt>
                <c:pt idx="1">
                  <c:v>1848</c:v>
                </c:pt>
              </c:numCache>
            </c:numRef>
          </c:val>
        </c:ser>
        <c:dLbls>
          <c:showCatName val="1"/>
          <c:showPercent val="1"/>
        </c:dLbls>
      </c:pie3D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5"/>
  <c:chart>
    <c:title>
      <c:tx>
        <c:rich>
          <a:bodyPr/>
          <a:lstStyle/>
          <a:p>
            <a:pPr>
              <a:defRPr/>
            </a:pPr>
            <a:r>
              <a:rPr lang="en-US"/>
              <a:t>IKON Multifunction Machines FY10</a:t>
            </a:r>
          </a:p>
          <a:p>
            <a:pPr>
              <a:defRPr/>
            </a:pPr>
            <a:r>
              <a:rPr lang="en-US" sz="1000"/>
              <a:t>(Paper Cost)</a:t>
            </a:r>
          </a:p>
          <a:p>
            <a:pPr>
              <a:defRPr/>
            </a:pPr>
            <a:r>
              <a:rPr lang="en-US" sz="1000"/>
              <a:t>Green $110,784</a:t>
            </a:r>
          </a:p>
          <a:p>
            <a:pPr>
              <a:defRPr/>
            </a:pPr>
            <a:r>
              <a:rPr lang="en-US" sz="1000"/>
              <a:t>Non-Green $26,613</a:t>
            </a:r>
          </a:p>
          <a:p>
            <a:pPr>
              <a:defRPr/>
            </a:pPr>
            <a:r>
              <a:rPr lang="en-US" sz="1000"/>
              <a:t>Total $137,397</a:t>
            </a:r>
          </a:p>
          <a:p>
            <a:pPr>
              <a:defRPr/>
            </a:pPr>
            <a:endParaRPr lang="en-US" sz="1000"/>
          </a:p>
        </c:rich>
      </c:tx>
      <c:layout/>
    </c:title>
    <c:view3D>
      <c:rotX val="30"/>
      <c:perspective val="30"/>
    </c:view3D>
    <c:plotArea>
      <c:layout>
        <c:manualLayout>
          <c:layoutTarget val="inner"/>
          <c:xMode val="edge"/>
          <c:yMode val="edge"/>
          <c:x val="0"/>
          <c:y val="0.52393762544387834"/>
          <c:w val="0.94142080948368534"/>
          <c:h val="0.38611167721681855"/>
        </c:manualLayout>
      </c:layout>
      <c:pie3DChart>
        <c:varyColors val="1"/>
        <c:ser>
          <c:idx val="0"/>
          <c:order val="0"/>
          <c:explosion val="25"/>
          <c:dLbls>
            <c:dLbl>
              <c:idx val="0"/>
              <c:layout/>
              <c:tx>
                <c:rich>
                  <a:bodyPr/>
                  <a:lstStyle/>
                  <a:p>
                    <a:r>
                      <a:rPr lang="en-US"/>
                      <a:t>Green
81%</a:t>
                    </a:r>
                  </a:p>
                </c:rich>
              </c:tx>
              <c:showCatName val="1"/>
              <c:showPercent val="1"/>
            </c:dLbl>
            <c:dLbl>
              <c:idx val="1"/>
              <c:layout/>
              <c:tx>
                <c:rich>
                  <a:bodyPr/>
                  <a:lstStyle/>
                  <a:p>
                    <a:r>
                      <a:rPr lang="en-US"/>
                      <a:t>Non-Green
19%</a:t>
                    </a:r>
                  </a:p>
                </c:rich>
              </c:tx>
              <c:showCatName val="1"/>
              <c:showPercent val="1"/>
            </c:dLbl>
            <c:showCatName val="1"/>
            <c:showPercent val="1"/>
            <c:showLeaderLines val="1"/>
          </c:dLbls>
          <c:val>
            <c:numRef>
              <c:f>Ikon!$B$3:$C$3</c:f>
              <c:numCache>
                <c:formatCode>_("$"* #,##0.00_);_("$"* \(#,##0.00\);_("$"* "-"??_);_(@_)</c:formatCode>
                <c:ptCount val="2"/>
                <c:pt idx="0">
                  <c:v>110784</c:v>
                </c:pt>
                <c:pt idx="1">
                  <c:v>26613</c:v>
                </c:pt>
              </c:numCache>
            </c:numRef>
          </c:val>
        </c:ser>
        <c:dLbls>
          <c:showCatName val="1"/>
          <c:showPercent val="1"/>
        </c:dLbls>
      </c:pie3DChart>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5"/>
  <c:chart>
    <c:title>
      <c:tx>
        <c:rich>
          <a:bodyPr/>
          <a:lstStyle/>
          <a:p>
            <a:pPr>
              <a:defRPr/>
            </a:pPr>
            <a:r>
              <a:rPr lang="en-US"/>
              <a:t>Grainger FY10</a:t>
            </a:r>
          </a:p>
          <a:p>
            <a:pPr>
              <a:defRPr/>
            </a:pPr>
            <a:r>
              <a:rPr lang="en-US" sz="1000"/>
              <a:t>(MRO Supplies)</a:t>
            </a:r>
          </a:p>
          <a:p>
            <a:pPr>
              <a:defRPr/>
            </a:pPr>
            <a:r>
              <a:rPr lang="en-US" sz="1000"/>
              <a:t>Green $22,297.20</a:t>
            </a:r>
          </a:p>
          <a:p>
            <a:pPr>
              <a:defRPr/>
            </a:pPr>
            <a:r>
              <a:rPr lang="en-US" sz="1000"/>
              <a:t>Non-Green $636,804.20</a:t>
            </a:r>
          </a:p>
          <a:p>
            <a:pPr>
              <a:defRPr/>
            </a:pPr>
            <a:r>
              <a:rPr lang="en-US" sz="1000"/>
              <a:t>Total $659,101.40</a:t>
            </a:r>
          </a:p>
        </c:rich>
      </c:tx>
      <c:layout/>
    </c:title>
    <c:view3D>
      <c:rotX val="60"/>
      <c:rotY val="50"/>
      <c:perspective val="0"/>
    </c:view3D>
    <c:plotArea>
      <c:layout/>
      <c:pie3DChart>
        <c:varyColors val="1"/>
        <c:ser>
          <c:idx val="0"/>
          <c:order val="0"/>
          <c:explosion val="25"/>
          <c:dLbls>
            <c:showCatName val="1"/>
            <c:showPercent val="1"/>
          </c:dLbls>
          <c:cat>
            <c:strRef>
              <c:f>Grainger!$A$1:$B$1</c:f>
              <c:strCache>
                <c:ptCount val="2"/>
                <c:pt idx="0">
                  <c:v>Green</c:v>
                </c:pt>
                <c:pt idx="1">
                  <c:v>Non-Green</c:v>
                </c:pt>
              </c:strCache>
            </c:strRef>
          </c:cat>
          <c:val>
            <c:numRef>
              <c:f>Grainger!$A$2:$B$2</c:f>
              <c:numCache>
                <c:formatCode>_("$"* #,##0.00_);_("$"* \(#,##0.00\);_("$"* "-"??_);_(@_)</c:formatCode>
                <c:ptCount val="2"/>
                <c:pt idx="0">
                  <c:v>22297.200000000001</c:v>
                </c:pt>
                <c:pt idx="1">
                  <c:v>636804.19999999856</c:v>
                </c:pt>
              </c:numCache>
            </c:numRef>
          </c:val>
        </c:ser>
        <c:dLbls>
          <c:showCatName val="1"/>
          <c:showPercent val="1"/>
        </c:dLbls>
      </c:pie3DChart>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5"/>
  <c:chart>
    <c:title>
      <c:tx>
        <c:rich>
          <a:bodyPr/>
          <a:lstStyle/>
          <a:p>
            <a:pPr>
              <a:defRPr/>
            </a:pPr>
            <a:r>
              <a:rPr lang="en-US"/>
              <a:t>Knoll FY10</a:t>
            </a:r>
          </a:p>
          <a:p>
            <a:pPr>
              <a:defRPr/>
            </a:pPr>
            <a:r>
              <a:rPr lang="en-US" sz="1000"/>
              <a:t>(Office Furniture)</a:t>
            </a:r>
          </a:p>
          <a:p>
            <a:pPr>
              <a:defRPr/>
            </a:pPr>
            <a:r>
              <a:rPr lang="en-US" sz="1000"/>
              <a:t>Recycled 40%</a:t>
            </a:r>
          </a:p>
          <a:p>
            <a:pPr>
              <a:defRPr/>
            </a:pPr>
            <a:r>
              <a:rPr lang="en-US" sz="1000"/>
              <a:t>Non-Recycled 60%</a:t>
            </a:r>
          </a:p>
        </c:rich>
      </c:tx>
      <c:layout/>
    </c:title>
    <c:view3D>
      <c:rotX val="30"/>
      <c:perspective val="30"/>
    </c:view3D>
    <c:plotArea>
      <c:layout/>
      <c:pie3DChart>
        <c:varyColors val="1"/>
        <c:ser>
          <c:idx val="0"/>
          <c:order val="0"/>
          <c:explosion val="25"/>
          <c:dLbls>
            <c:showCatName val="1"/>
            <c:showPercent val="1"/>
          </c:dLbls>
          <c:cat>
            <c:strRef>
              <c:f>Knoll!$A$1:$B$1</c:f>
              <c:strCache>
                <c:ptCount val="2"/>
                <c:pt idx="0">
                  <c:v>Recycled Material</c:v>
                </c:pt>
                <c:pt idx="1">
                  <c:v>Non-Recycled Material</c:v>
                </c:pt>
              </c:strCache>
            </c:strRef>
          </c:cat>
          <c:val>
            <c:numRef>
              <c:f>Knoll!$A$2:$B$2</c:f>
              <c:numCache>
                <c:formatCode>0%</c:formatCode>
                <c:ptCount val="2"/>
                <c:pt idx="0">
                  <c:v>0.4</c:v>
                </c:pt>
                <c:pt idx="1">
                  <c:v>0.60000000000000064</c:v>
                </c:pt>
              </c:numCache>
            </c:numRef>
          </c:val>
        </c:ser>
        <c:dLbls>
          <c:showCatName val="1"/>
          <c:showPercent val="1"/>
        </c:dLbls>
      </c:pie3DChart>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5"/>
  <c:chart>
    <c:title>
      <c:tx>
        <c:rich>
          <a:bodyPr/>
          <a:lstStyle/>
          <a:p>
            <a:pPr>
              <a:defRPr/>
            </a:pPr>
            <a:r>
              <a:rPr lang="en-US"/>
              <a:t>Zep FY10</a:t>
            </a:r>
          </a:p>
          <a:p>
            <a:pPr>
              <a:defRPr/>
            </a:pPr>
            <a:r>
              <a:rPr lang="en-US" sz="1000"/>
              <a:t>(Cleaning Chemicals)</a:t>
            </a:r>
          </a:p>
          <a:p>
            <a:pPr>
              <a:defRPr/>
            </a:pPr>
            <a:r>
              <a:rPr lang="en-US" sz="1000"/>
              <a:t>Green 33%</a:t>
            </a:r>
          </a:p>
          <a:p>
            <a:pPr>
              <a:defRPr/>
            </a:pPr>
            <a:r>
              <a:rPr lang="en-US" sz="1000"/>
              <a:t>Non-Green 67%</a:t>
            </a:r>
          </a:p>
        </c:rich>
      </c:tx>
      <c:layout/>
    </c:title>
    <c:view3D>
      <c:rotX val="30"/>
      <c:perspective val="30"/>
    </c:view3D>
    <c:plotArea>
      <c:layout/>
      <c:pie3DChart>
        <c:varyColors val="1"/>
        <c:ser>
          <c:idx val="0"/>
          <c:order val="0"/>
          <c:explosion val="25"/>
          <c:dLbls>
            <c:showCatName val="1"/>
            <c:showPercent val="1"/>
          </c:dLbls>
          <c:cat>
            <c:strRef>
              <c:f>Zep!$A$1:$B$1</c:f>
              <c:strCache>
                <c:ptCount val="2"/>
                <c:pt idx="0">
                  <c:v>Green</c:v>
                </c:pt>
                <c:pt idx="1">
                  <c:v>Non-Green</c:v>
                </c:pt>
              </c:strCache>
            </c:strRef>
          </c:cat>
          <c:val>
            <c:numRef>
              <c:f>Zep!$A$2:$B$2</c:f>
              <c:numCache>
                <c:formatCode>0%</c:formatCode>
                <c:ptCount val="2"/>
                <c:pt idx="0">
                  <c:v>0.33000000000000063</c:v>
                </c:pt>
                <c:pt idx="1">
                  <c:v>0.67000000000000126</c:v>
                </c:pt>
              </c:numCache>
            </c:numRef>
          </c:val>
        </c:ser>
        <c:dLbls>
          <c:showCatName val="1"/>
          <c:showPercent val="1"/>
        </c:dLbls>
      </c:pie3DChart>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9B7DE-F773-49AF-B1D0-E367EDB1E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2486</Words>
  <Characters>14172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City of Charlotte, NC USA</Company>
  <LinksUpToDate>false</LinksUpToDate>
  <CharactersWithSpaces>16625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kruppe</dc:creator>
  <cp:keywords/>
  <dc:description/>
  <cp:lastModifiedBy>kruppe</cp:lastModifiedBy>
  <cp:revision>3</cp:revision>
  <cp:lastPrinted>2010-07-29T13:46:00Z</cp:lastPrinted>
  <dcterms:created xsi:type="dcterms:W3CDTF">2010-07-29T16:06:00Z</dcterms:created>
  <dcterms:modified xsi:type="dcterms:W3CDTF">2010-11-03T17:42:00Z</dcterms:modified>
</cp:coreProperties>
</file>